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Pr="007322B7" w:rsidRDefault="007B70C2" w:rsidP="007B70C2">
      <w:pPr>
        <w:spacing w:line="360" w:lineRule="auto"/>
        <w:jc w:val="both"/>
        <w:rPr>
          <w:rFonts w:ascii="Palatino Linotype" w:hAnsi="Palatino Linotype" w:cs="Arial"/>
          <w:b/>
          <w:color w:val="000000" w:themeColor="text1"/>
          <w:lang w:eastAsia="es-MX"/>
        </w:rPr>
      </w:pPr>
      <w:r w:rsidRPr="007322B7">
        <w:rPr>
          <w:rFonts w:ascii="Palatino Linotype" w:hAnsi="Palatino Linotype" w:cs="Arial"/>
          <w:b/>
          <w:color w:val="000000" w:themeColor="text1"/>
        </w:rPr>
        <w:t>VOTO DISIDENTE DEL COMISIONADO JOSÉ GUADALUPE LUNA HERNÁNDEZ EN EL RECURSO DE REVISIÓN</w:t>
      </w:r>
      <w:r w:rsidR="00FC0B18" w:rsidRPr="007322B7">
        <w:rPr>
          <w:rFonts w:ascii="Palatino Linotype" w:hAnsi="Palatino Linotype" w:cs="Arial"/>
          <w:b/>
          <w:color w:val="000000" w:themeColor="text1"/>
        </w:rPr>
        <w:t xml:space="preserve"> </w:t>
      </w:r>
      <w:r w:rsidR="00DC3D1C" w:rsidRPr="007322B7">
        <w:rPr>
          <w:rFonts w:ascii="Palatino Linotype" w:hAnsi="Palatino Linotype" w:cs="Arial"/>
          <w:b/>
          <w:bCs/>
          <w:color w:val="000000" w:themeColor="text1"/>
        </w:rPr>
        <w:t>02720/INFOEM/IP/RR/2018</w:t>
      </w:r>
      <w:r w:rsidR="00A527F0" w:rsidRPr="007322B7">
        <w:rPr>
          <w:rFonts w:ascii="Palatino Linotype" w:hAnsi="Palatino Linotype" w:cs="Arial"/>
          <w:b/>
          <w:bCs/>
          <w:color w:val="000000" w:themeColor="text1"/>
        </w:rPr>
        <w:t>.</w:t>
      </w:r>
    </w:p>
    <w:p w:rsidR="00F436A4" w:rsidRPr="007322B7" w:rsidRDefault="00F436A4" w:rsidP="00F436A4">
      <w:pPr>
        <w:spacing w:line="360" w:lineRule="auto"/>
        <w:jc w:val="both"/>
        <w:rPr>
          <w:rFonts w:ascii="Palatino Linotype" w:hAnsi="Palatino Linotype" w:cs="Arial"/>
          <w:b/>
          <w:i/>
        </w:rPr>
      </w:pPr>
    </w:p>
    <w:p w:rsidR="00F436A4" w:rsidRPr="007322B7" w:rsidRDefault="003503B0" w:rsidP="00F436A4">
      <w:pPr>
        <w:spacing w:line="360" w:lineRule="auto"/>
        <w:jc w:val="both"/>
        <w:rPr>
          <w:rFonts w:ascii="Palatino Linotype" w:hAnsi="Palatino Linotype" w:cs="Arial"/>
          <w:b/>
          <w:bdr w:val="none" w:sz="0" w:space="0" w:color="auto"/>
        </w:rPr>
      </w:pPr>
      <w:r w:rsidRPr="007322B7">
        <w:rPr>
          <w:rFonts w:ascii="Palatino Linotype" w:hAnsi="Palatino Linotype" w:cs="Arial"/>
          <w:b/>
        </w:rPr>
        <w:t>RESUMEN DEL VOTO</w:t>
      </w:r>
    </w:p>
    <w:p w:rsidR="003503B0" w:rsidRPr="007322B7" w:rsidRDefault="00075028" w:rsidP="007322B7">
      <w:pPr>
        <w:spacing w:line="360" w:lineRule="auto"/>
        <w:jc w:val="both"/>
        <w:rPr>
          <w:rFonts w:ascii="Palatino Linotype" w:hAnsi="Palatino Linotype" w:cs="Arial"/>
          <w:lang w:eastAsia="es-MX"/>
        </w:rPr>
      </w:pPr>
      <w:r w:rsidRPr="007322B7">
        <w:rPr>
          <w:rFonts w:ascii="Palatino Linotype" w:hAnsi="Palatino Linotype" w:cs="Arial"/>
          <w:lang w:eastAsia="es-MX"/>
        </w:rPr>
        <w:t>Para invocar la causal de reserva, la información que se solicita debe vulnerar  la conducción de los expedientes judiciales o de los procedimientos administrativos seguidos en forma de juicio, siempre y cuando se acrediten los elementos que el Instituto Nacional de Transparencia, Acceso a la Información y Protección de Datos Personales, ya le ha establecido a este Órgano Garante local. Debiendo ser analizados, cada uno, con la finalidad de determinar si se configura la hipótesis de reserva que tengan a bien invocar los sujetos obligados.</w:t>
      </w:r>
    </w:p>
    <w:p w:rsidR="007322B7" w:rsidRPr="007322B7" w:rsidRDefault="007322B7" w:rsidP="007322B7">
      <w:pPr>
        <w:spacing w:line="360" w:lineRule="auto"/>
        <w:jc w:val="both"/>
        <w:rPr>
          <w:rFonts w:ascii="Palatino Linotype" w:hAnsi="Palatino Linotype" w:cs="Arial"/>
          <w:lang w:eastAsia="es-MX"/>
        </w:rPr>
      </w:pPr>
    </w:p>
    <w:p w:rsidR="00F436A4" w:rsidRPr="007322B7" w:rsidRDefault="00F436A4" w:rsidP="00F436A4">
      <w:pPr>
        <w:rPr>
          <w:rFonts w:ascii="Palatino Linotype" w:hAnsi="Palatino Linotype"/>
          <w:color w:val="2E74B5" w:themeColor="accent1" w:themeShade="BF"/>
          <w:lang w:val="es-ES"/>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7322B7" w:rsidRDefault="00F436A4" w:rsidP="00F436A4">
          <w:pPr>
            <w:rPr>
              <w:rFonts w:ascii="Palatino Linotype" w:hAnsi="Palatino Linotype"/>
              <w:color w:val="2E74B5" w:themeColor="accent1" w:themeShade="BF"/>
              <w:lang w:val="es-ES"/>
            </w:rPr>
          </w:pPr>
        </w:p>
        <w:p w:rsidR="00F436A4" w:rsidRPr="007322B7" w:rsidRDefault="00075028" w:rsidP="00075028">
          <w:pPr>
            <w:jc w:val="center"/>
            <w:rPr>
              <w:rFonts w:ascii="Palatino Linotype" w:hAnsi="Palatino Linotype"/>
              <w:b/>
              <w:color w:val="000000" w:themeColor="text1"/>
              <w:lang w:val="es-ES"/>
            </w:rPr>
          </w:pPr>
          <w:r w:rsidRPr="007322B7">
            <w:rPr>
              <w:rFonts w:ascii="Palatino Linotype" w:hAnsi="Palatino Linotype"/>
              <w:b/>
              <w:color w:val="000000" w:themeColor="text1"/>
              <w:lang w:val="es-ES"/>
            </w:rPr>
            <w:t>ÍNDICE</w:t>
          </w:r>
        </w:p>
        <w:p w:rsidR="00F436A4" w:rsidRPr="007322B7" w:rsidRDefault="00F436A4" w:rsidP="00CF16BC">
          <w:pPr>
            <w:spacing w:line="480" w:lineRule="auto"/>
            <w:rPr>
              <w:rFonts w:ascii="Palatino Linotype" w:hAnsi="Palatino Linotype"/>
              <w:b/>
              <w:lang w:val="es-ES" w:eastAsia="es-MX"/>
            </w:rPr>
          </w:pPr>
        </w:p>
        <w:p w:rsidR="007322B7" w:rsidRPr="007322B7" w:rsidRDefault="00B82DF9">
          <w:pPr>
            <w:pStyle w:val="TDC1"/>
            <w:rPr>
              <w:rFonts w:asciiTheme="minorHAnsi" w:eastAsiaTheme="minorEastAsia" w:hAnsiTheme="minorHAnsi" w:cstheme="minorBidi"/>
              <w:noProof/>
              <w:sz w:val="22"/>
              <w:szCs w:val="22"/>
              <w:bdr w:val="none" w:sz="0" w:space="0" w:color="auto"/>
              <w:lang w:eastAsia="es-MX"/>
            </w:rPr>
          </w:pPr>
          <w:r w:rsidRPr="007322B7">
            <w:rPr>
              <w:b/>
            </w:rPr>
            <w:fldChar w:fldCharType="begin"/>
          </w:r>
          <w:r w:rsidRPr="007322B7">
            <w:rPr>
              <w:b/>
            </w:rPr>
            <w:instrText xml:space="preserve"> TOC \o "1-3" \h \z \u </w:instrText>
          </w:r>
          <w:r w:rsidRPr="007322B7">
            <w:rPr>
              <w:b/>
            </w:rPr>
            <w:fldChar w:fldCharType="separate"/>
          </w:r>
          <w:hyperlink w:anchor="_Toc525562354" w:history="1">
            <w:r w:rsidR="007322B7" w:rsidRPr="007322B7">
              <w:rPr>
                <w:rStyle w:val="Hipervnculo"/>
                <w:rFonts w:eastAsiaTheme="majorEastAsia" w:cstheme="majorBidi"/>
                <w:b/>
                <w:noProof/>
              </w:rPr>
              <w:t>I. Consideraciones Generales</w:t>
            </w:r>
            <w:r w:rsidR="007322B7" w:rsidRPr="007322B7">
              <w:rPr>
                <w:noProof/>
                <w:webHidden/>
              </w:rPr>
              <w:tab/>
            </w:r>
            <w:r w:rsidR="007322B7" w:rsidRPr="007322B7">
              <w:rPr>
                <w:noProof/>
                <w:webHidden/>
              </w:rPr>
              <w:fldChar w:fldCharType="begin"/>
            </w:r>
            <w:r w:rsidR="007322B7" w:rsidRPr="007322B7">
              <w:rPr>
                <w:noProof/>
                <w:webHidden/>
              </w:rPr>
              <w:instrText xml:space="preserve"> PAGEREF _Toc525562354 \h </w:instrText>
            </w:r>
            <w:r w:rsidR="007322B7" w:rsidRPr="007322B7">
              <w:rPr>
                <w:noProof/>
                <w:webHidden/>
              </w:rPr>
            </w:r>
            <w:r w:rsidR="007322B7" w:rsidRPr="007322B7">
              <w:rPr>
                <w:noProof/>
                <w:webHidden/>
              </w:rPr>
              <w:fldChar w:fldCharType="separate"/>
            </w:r>
            <w:r w:rsidR="007322B7">
              <w:rPr>
                <w:noProof/>
                <w:webHidden/>
              </w:rPr>
              <w:t>2</w:t>
            </w:r>
            <w:r w:rsidR="007322B7" w:rsidRPr="007322B7">
              <w:rPr>
                <w:noProof/>
                <w:webHidden/>
              </w:rPr>
              <w:fldChar w:fldCharType="end"/>
            </w:r>
          </w:hyperlink>
        </w:p>
        <w:p w:rsidR="007322B7" w:rsidRPr="007322B7" w:rsidRDefault="0062117B">
          <w:pPr>
            <w:pStyle w:val="TDC1"/>
            <w:rPr>
              <w:rFonts w:asciiTheme="minorHAnsi" w:eastAsiaTheme="minorEastAsia" w:hAnsiTheme="minorHAnsi" w:cstheme="minorBidi"/>
              <w:noProof/>
              <w:sz w:val="22"/>
              <w:szCs w:val="22"/>
              <w:bdr w:val="none" w:sz="0" w:space="0" w:color="auto"/>
              <w:lang w:eastAsia="es-MX"/>
            </w:rPr>
          </w:pPr>
          <w:hyperlink w:anchor="_Toc525562355" w:history="1">
            <w:r w:rsidR="007322B7" w:rsidRPr="007322B7">
              <w:rPr>
                <w:rStyle w:val="Hipervnculo"/>
                <w:noProof/>
              </w:rPr>
              <w:t>II.</w:t>
            </w:r>
            <w:r w:rsidR="007322B7" w:rsidRPr="007322B7">
              <w:rPr>
                <w:rFonts w:asciiTheme="minorHAnsi" w:eastAsiaTheme="minorEastAsia" w:hAnsiTheme="minorHAnsi" w:cstheme="minorBidi"/>
                <w:noProof/>
                <w:sz w:val="22"/>
                <w:szCs w:val="22"/>
                <w:bdr w:val="none" w:sz="0" w:space="0" w:color="auto"/>
                <w:lang w:eastAsia="es-MX"/>
              </w:rPr>
              <w:tab/>
            </w:r>
            <w:r w:rsidR="007322B7" w:rsidRPr="007322B7">
              <w:rPr>
                <w:rStyle w:val="Hipervnculo"/>
                <w:noProof/>
              </w:rPr>
              <w:t>De los requerimientos planteados en el recurso de revisión.</w:t>
            </w:r>
            <w:r w:rsidR="007322B7" w:rsidRPr="007322B7">
              <w:rPr>
                <w:noProof/>
                <w:webHidden/>
              </w:rPr>
              <w:tab/>
            </w:r>
            <w:r w:rsidR="007322B7" w:rsidRPr="007322B7">
              <w:rPr>
                <w:noProof/>
                <w:webHidden/>
              </w:rPr>
              <w:fldChar w:fldCharType="begin"/>
            </w:r>
            <w:r w:rsidR="007322B7" w:rsidRPr="007322B7">
              <w:rPr>
                <w:noProof/>
                <w:webHidden/>
              </w:rPr>
              <w:instrText xml:space="preserve"> PAGEREF _Toc525562355 \h </w:instrText>
            </w:r>
            <w:r w:rsidR="007322B7" w:rsidRPr="007322B7">
              <w:rPr>
                <w:noProof/>
                <w:webHidden/>
              </w:rPr>
            </w:r>
            <w:r w:rsidR="007322B7" w:rsidRPr="007322B7">
              <w:rPr>
                <w:noProof/>
                <w:webHidden/>
              </w:rPr>
              <w:fldChar w:fldCharType="separate"/>
            </w:r>
            <w:r w:rsidR="007322B7">
              <w:rPr>
                <w:noProof/>
                <w:webHidden/>
              </w:rPr>
              <w:t>4</w:t>
            </w:r>
            <w:r w:rsidR="007322B7" w:rsidRPr="007322B7">
              <w:rPr>
                <w:noProof/>
                <w:webHidden/>
              </w:rPr>
              <w:fldChar w:fldCharType="end"/>
            </w:r>
          </w:hyperlink>
        </w:p>
        <w:p w:rsidR="007322B7" w:rsidRPr="007322B7" w:rsidRDefault="0062117B">
          <w:pPr>
            <w:pStyle w:val="TDC1"/>
            <w:rPr>
              <w:rFonts w:asciiTheme="minorHAnsi" w:eastAsiaTheme="minorEastAsia" w:hAnsiTheme="minorHAnsi" w:cstheme="minorBidi"/>
              <w:noProof/>
              <w:sz w:val="22"/>
              <w:szCs w:val="22"/>
              <w:bdr w:val="none" w:sz="0" w:space="0" w:color="auto"/>
              <w:lang w:eastAsia="es-MX"/>
            </w:rPr>
          </w:pPr>
          <w:hyperlink w:anchor="_Toc525562356" w:history="1">
            <w:r w:rsidR="007322B7" w:rsidRPr="007322B7">
              <w:rPr>
                <w:rStyle w:val="Hipervnculo"/>
                <w:noProof/>
              </w:rPr>
              <w:t>III.</w:t>
            </w:r>
            <w:r w:rsidR="007322B7" w:rsidRPr="007322B7">
              <w:rPr>
                <w:rFonts w:asciiTheme="minorHAnsi" w:eastAsiaTheme="minorEastAsia" w:hAnsiTheme="minorHAnsi" w:cstheme="minorBidi"/>
                <w:noProof/>
                <w:sz w:val="22"/>
                <w:szCs w:val="22"/>
                <w:bdr w:val="none" w:sz="0" w:space="0" w:color="auto"/>
                <w:lang w:eastAsia="es-MX"/>
              </w:rPr>
              <w:tab/>
            </w:r>
            <w:r w:rsidR="007322B7" w:rsidRPr="007322B7">
              <w:rPr>
                <w:rStyle w:val="Hipervnculo"/>
                <w:noProof/>
              </w:rPr>
              <w:t>De la respuesta del Sujeto Obligado.</w:t>
            </w:r>
            <w:r w:rsidR="007322B7" w:rsidRPr="007322B7">
              <w:rPr>
                <w:noProof/>
                <w:webHidden/>
              </w:rPr>
              <w:tab/>
            </w:r>
            <w:r w:rsidR="007322B7" w:rsidRPr="007322B7">
              <w:rPr>
                <w:noProof/>
                <w:webHidden/>
              </w:rPr>
              <w:fldChar w:fldCharType="begin"/>
            </w:r>
            <w:r w:rsidR="007322B7" w:rsidRPr="007322B7">
              <w:rPr>
                <w:noProof/>
                <w:webHidden/>
              </w:rPr>
              <w:instrText xml:space="preserve"> PAGEREF _Toc525562356 \h </w:instrText>
            </w:r>
            <w:r w:rsidR="007322B7" w:rsidRPr="007322B7">
              <w:rPr>
                <w:noProof/>
                <w:webHidden/>
              </w:rPr>
            </w:r>
            <w:r w:rsidR="007322B7" w:rsidRPr="007322B7">
              <w:rPr>
                <w:noProof/>
                <w:webHidden/>
              </w:rPr>
              <w:fldChar w:fldCharType="separate"/>
            </w:r>
            <w:r w:rsidR="007322B7">
              <w:rPr>
                <w:noProof/>
                <w:webHidden/>
              </w:rPr>
              <w:t>6</w:t>
            </w:r>
            <w:r w:rsidR="007322B7" w:rsidRPr="007322B7">
              <w:rPr>
                <w:noProof/>
                <w:webHidden/>
              </w:rPr>
              <w:fldChar w:fldCharType="end"/>
            </w:r>
          </w:hyperlink>
        </w:p>
        <w:p w:rsidR="00A3395D" w:rsidRPr="007322B7" w:rsidRDefault="00B82DF9" w:rsidP="00075028">
          <w:pPr>
            <w:spacing w:line="480" w:lineRule="auto"/>
            <w:rPr>
              <w:rFonts w:ascii="Palatino Linotype" w:hAnsi="Palatino Linotype"/>
              <w:b/>
              <w:bCs/>
              <w:color w:val="000000" w:themeColor="text1"/>
            </w:rPr>
          </w:pPr>
          <w:r w:rsidRPr="007322B7">
            <w:rPr>
              <w:rFonts w:ascii="Palatino Linotype" w:hAnsi="Palatino Linotype"/>
              <w:b/>
              <w:bCs/>
              <w:color w:val="000000" w:themeColor="text1"/>
            </w:rPr>
            <w:fldChar w:fldCharType="end"/>
          </w:r>
        </w:p>
      </w:sdtContent>
    </w:sdt>
    <w:p w:rsidR="00075028" w:rsidRPr="007322B7" w:rsidRDefault="00075028" w:rsidP="00A3395D">
      <w:pPr>
        <w:spacing w:line="360" w:lineRule="auto"/>
        <w:rPr>
          <w:rFonts w:ascii="Palatino Linotype" w:hAnsi="Palatino Linotype"/>
          <w:b/>
          <w:bCs/>
          <w:color w:val="000000" w:themeColor="text1"/>
        </w:rPr>
      </w:pPr>
    </w:p>
    <w:p w:rsidR="00A3395D" w:rsidRPr="007322B7" w:rsidRDefault="00343467" w:rsidP="0034346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rPr>
          <w:rFonts w:ascii="Palatino Linotype" w:eastAsiaTheme="majorEastAsia" w:hAnsi="Palatino Linotype" w:cstheme="majorBidi"/>
          <w:b/>
        </w:rPr>
      </w:pPr>
      <w:bookmarkStart w:id="0" w:name="_Toc493504860"/>
      <w:bookmarkStart w:id="1" w:name="_Toc525562354"/>
      <w:r w:rsidRPr="007322B7">
        <w:rPr>
          <w:rFonts w:ascii="Palatino Linotype" w:eastAsiaTheme="majorEastAsia" w:hAnsi="Palatino Linotype" w:cstheme="majorBidi"/>
          <w:b/>
        </w:rPr>
        <w:lastRenderedPageBreak/>
        <w:t xml:space="preserve">I. </w:t>
      </w:r>
      <w:r w:rsidR="00A3395D" w:rsidRPr="007322B7">
        <w:rPr>
          <w:rFonts w:ascii="Palatino Linotype" w:eastAsiaTheme="majorEastAsia" w:hAnsi="Palatino Linotype" w:cstheme="majorBidi"/>
          <w:b/>
        </w:rPr>
        <w:t>Consideraciones Generales</w:t>
      </w:r>
      <w:bookmarkEnd w:id="0"/>
      <w:bookmarkEnd w:id="1"/>
    </w:p>
    <w:p w:rsidR="00A3395D" w:rsidRPr="007322B7" w:rsidRDefault="00A3395D" w:rsidP="00A339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7B70C2" w:rsidRPr="007322B7" w:rsidRDefault="007B70C2" w:rsidP="006409B3">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jc w:val="both"/>
        <w:rPr>
          <w:rFonts w:ascii="Palatino Linotype" w:hAnsi="Palatino Linotype" w:cs="Arial"/>
          <w:color w:val="000000" w:themeColor="text1"/>
        </w:rPr>
      </w:pPr>
      <w:r w:rsidRPr="007322B7">
        <w:rPr>
          <w:rFonts w:ascii="Palatino Linotype" w:hAnsi="Palatino Linotype" w:cs="Arial"/>
          <w:color w:val="000000" w:themeColor="text1"/>
        </w:rPr>
        <w:t xml:space="preserve">He concurrido con mi </w:t>
      </w:r>
      <w:r w:rsidRPr="007322B7">
        <w:rPr>
          <w:rFonts w:ascii="Palatino Linotype" w:hAnsi="Palatino Linotype" w:cs="Arial"/>
          <w:b/>
          <w:color w:val="000000" w:themeColor="text1"/>
        </w:rPr>
        <w:t>voto disidente</w:t>
      </w:r>
      <w:r w:rsidRPr="007322B7">
        <w:rPr>
          <w:rFonts w:ascii="Palatino Linotype" w:hAnsi="Palatino Linotype" w:cs="Arial"/>
          <w:color w:val="000000" w:themeColor="text1"/>
        </w:rPr>
        <w:t xml:space="preserve"> de la presente resolución emitida por el Pleno del Instituto de Transparencia, Acceso a la Información Pública y Protección de Datos Personales del Estado de México y Municipios, </w:t>
      </w:r>
      <w:r w:rsidR="006409B3" w:rsidRPr="007322B7">
        <w:rPr>
          <w:rFonts w:ascii="Palatino Linotype" w:hAnsi="Palatino Linotype" w:cs="Arial"/>
          <w:color w:val="000000" w:themeColor="text1"/>
        </w:rPr>
        <w:t xml:space="preserve">en su </w:t>
      </w:r>
      <w:r w:rsidR="00A94904" w:rsidRPr="007322B7">
        <w:rPr>
          <w:rFonts w:ascii="Palatino Linotype" w:hAnsi="Palatino Linotype" w:cs="Arial"/>
        </w:rPr>
        <w:t>Trigésimo</w:t>
      </w:r>
      <w:r w:rsidR="007A4E77" w:rsidRPr="007322B7">
        <w:rPr>
          <w:rFonts w:ascii="Palatino Linotype" w:hAnsi="Palatino Linotype" w:cs="Arial"/>
          <w:color w:val="000000" w:themeColor="text1"/>
        </w:rPr>
        <w:t xml:space="preserve"> </w:t>
      </w:r>
      <w:r w:rsidR="00A94904" w:rsidRPr="007322B7">
        <w:rPr>
          <w:rFonts w:ascii="Palatino Linotype" w:hAnsi="Palatino Linotype" w:cs="Arial"/>
          <w:color w:val="000000" w:themeColor="text1"/>
        </w:rPr>
        <w:t>cuarta sesión</w:t>
      </w:r>
      <w:r w:rsidRPr="007322B7">
        <w:rPr>
          <w:rFonts w:ascii="Palatino Linotype" w:hAnsi="Palatino Linotype" w:cs="Arial"/>
          <w:color w:val="000000" w:themeColor="text1"/>
        </w:rPr>
        <w:t xml:space="preserve"> ordinaria </w:t>
      </w:r>
      <w:r w:rsidR="00FC0B18" w:rsidRPr="007322B7">
        <w:rPr>
          <w:rFonts w:ascii="Palatino Linotype" w:hAnsi="Palatino Linotype" w:cs="Arial"/>
          <w:color w:val="000000" w:themeColor="text1"/>
        </w:rPr>
        <w:t>celebrada el día</w:t>
      </w:r>
      <w:r w:rsidR="007A4E77" w:rsidRPr="007322B7">
        <w:rPr>
          <w:rFonts w:ascii="Palatino Linotype" w:hAnsi="Palatino Linotype" w:cs="Arial"/>
          <w:color w:val="000000" w:themeColor="text1"/>
        </w:rPr>
        <w:t xml:space="preserve"> </w:t>
      </w:r>
      <w:r w:rsidR="00DC3D1C" w:rsidRPr="007322B7">
        <w:rPr>
          <w:rFonts w:ascii="Palatino Linotype" w:hAnsi="Palatino Linotype" w:cs="Arial"/>
          <w:color w:val="000000" w:themeColor="text1"/>
        </w:rPr>
        <w:t>diecinueve</w:t>
      </w:r>
      <w:r w:rsidR="007A4E77" w:rsidRPr="007322B7">
        <w:rPr>
          <w:rFonts w:ascii="Palatino Linotype" w:hAnsi="Palatino Linotype" w:cs="Arial"/>
          <w:color w:val="000000" w:themeColor="text1"/>
        </w:rPr>
        <w:t xml:space="preserve"> (</w:t>
      </w:r>
      <w:r w:rsidR="00DC3D1C" w:rsidRPr="007322B7">
        <w:rPr>
          <w:rFonts w:ascii="Palatino Linotype" w:hAnsi="Palatino Linotype" w:cs="Arial"/>
          <w:color w:val="000000" w:themeColor="text1"/>
        </w:rPr>
        <w:t>19</w:t>
      </w:r>
      <w:r w:rsidR="007A4E77" w:rsidRPr="007322B7">
        <w:rPr>
          <w:rFonts w:ascii="Palatino Linotype" w:hAnsi="Palatino Linotype" w:cs="Arial"/>
          <w:color w:val="000000" w:themeColor="text1"/>
        </w:rPr>
        <w:t>) de</w:t>
      </w:r>
      <w:r w:rsidR="009332A7" w:rsidRPr="007322B7">
        <w:rPr>
          <w:rFonts w:ascii="Palatino Linotype" w:hAnsi="Palatino Linotype" w:cs="Arial"/>
          <w:color w:val="000000" w:themeColor="text1"/>
        </w:rPr>
        <w:t xml:space="preserve"> </w:t>
      </w:r>
      <w:r w:rsidR="00DC3D1C" w:rsidRPr="007322B7">
        <w:rPr>
          <w:rFonts w:ascii="Palatino Linotype" w:hAnsi="Palatino Linotype" w:cs="Arial"/>
          <w:color w:val="000000" w:themeColor="text1"/>
        </w:rPr>
        <w:t>septiembre</w:t>
      </w:r>
      <w:r w:rsidRPr="007322B7">
        <w:rPr>
          <w:rFonts w:ascii="Palatino Linotype" w:hAnsi="Palatino Linotype" w:cs="Arial"/>
          <w:color w:val="000000" w:themeColor="text1"/>
        </w:rPr>
        <w:t xml:space="preserve"> de dos mil dieci</w:t>
      </w:r>
      <w:r w:rsidR="00DE7DF6" w:rsidRPr="007322B7">
        <w:rPr>
          <w:rFonts w:ascii="Palatino Linotype" w:hAnsi="Palatino Linotype" w:cs="Arial"/>
          <w:color w:val="000000" w:themeColor="text1"/>
        </w:rPr>
        <w:t>ocho</w:t>
      </w:r>
      <w:r w:rsidRPr="007322B7">
        <w:rPr>
          <w:rFonts w:ascii="Palatino Linotype" w:hAnsi="Palatino Linotype" w:cs="Arial"/>
          <w:color w:val="000000" w:themeColor="text1"/>
        </w:rPr>
        <w:t xml:space="preserve">, en </w:t>
      </w:r>
      <w:r w:rsidR="003503B0" w:rsidRPr="007322B7">
        <w:rPr>
          <w:rFonts w:ascii="Palatino Linotype" w:hAnsi="Palatino Linotype" w:cs="Arial"/>
          <w:color w:val="000000" w:themeColor="text1"/>
        </w:rPr>
        <w:t>el recurso de revisión promovido</w:t>
      </w:r>
      <w:r w:rsidRPr="007322B7">
        <w:rPr>
          <w:rFonts w:ascii="Palatino Linotype" w:hAnsi="Palatino Linotype" w:cs="Arial"/>
          <w:color w:val="000000" w:themeColor="text1"/>
        </w:rPr>
        <w:t xml:space="preserve"> por</w:t>
      </w:r>
      <w:r w:rsidRPr="007322B7">
        <w:rPr>
          <w:rFonts w:ascii="Palatino Linotype" w:hAnsi="Palatino Linotype" w:cs="Arial"/>
          <w:b/>
          <w:color w:val="000000" w:themeColor="text1"/>
        </w:rPr>
        <w:t xml:space="preserve"> </w:t>
      </w:r>
      <w:r w:rsidR="0062117B" w:rsidRPr="0062117B">
        <w:rPr>
          <w:rFonts w:ascii="Palatino Linotype" w:hAnsi="Palatino Linotype" w:cs="Arial"/>
          <w:b/>
          <w:color w:val="000000" w:themeColor="text1"/>
          <w:highlight w:val="black"/>
        </w:rPr>
        <w:t>-----------------------------------------</w:t>
      </w:r>
      <w:r w:rsidR="001E2F7E" w:rsidRPr="007322B7">
        <w:rPr>
          <w:rFonts w:ascii="Palatino Linotype" w:hAnsi="Palatino Linotype" w:cs="Arial"/>
          <w:color w:val="000000" w:themeColor="text1"/>
        </w:rPr>
        <w:t>,</w:t>
      </w:r>
      <w:r w:rsidR="00D976D8" w:rsidRPr="007322B7">
        <w:rPr>
          <w:rFonts w:ascii="Palatino Linotype" w:hAnsi="Palatino Linotype" w:cs="Arial"/>
          <w:color w:val="000000" w:themeColor="text1"/>
        </w:rPr>
        <w:t xml:space="preserve"> </w:t>
      </w:r>
      <w:r w:rsidRPr="007322B7">
        <w:rPr>
          <w:rFonts w:ascii="Palatino Linotype" w:hAnsi="Palatino Linotype" w:cs="Arial"/>
          <w:color w:val="000000" w:themeColor="text1"/>
        </w:rPr>
        <w:t xml:space="preserve">procedimiento al que se asignó el número de expediente </w:t>
      </w:r>
      <w:r w:rsidR="00DC3D1C" w:rsidRPr="007322B7">
        <w:rPr>
          <w:rFonts w:ascii="Palatino Linotype" w:hAnsi="Palatino Linotype" w:cs="Arial"/>
          <w:b/>
          <w:bCs/>
          <w:color w:val="000000" w:themeColor="text1"/>
        </w:rPr>
        <w:t>02720/INFOEM/IP/RR/2018</w:t>
      </w:r>
      <w:r w:rsidR="00A527F0" w:rsidRPr="007322B7">
        <w:rPr>
          <w:rFonts w:ascii="Palatino Linotype" w:hAnsi="Palatino Linotype" w:cs="Arial"/>
          <w:b/>
          <w:bCs/>
          <w:color w:val="000000" w:themeColor="text1"/>
        </w:rPr>
        <w:t>.</w:t>
      </w:r>
    </w:p>
    <w:p w:rsidR="003331EE" w:rsidRPr="007322B7" w:rsidRDefault="003331EE" w:rsidP="003331E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DC3D1C" w:rsidRPr="007322B7" w:rsidRDefault="00FC148F" w:rsidP="004F719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360" w:lineRule="auto"/>
        <w:ind w:left="284" w:hanging="218"/>
        <w:jc w:val="both"/>
        <w:rPr>
          <w:rFonts w:ascii="Palatino Linotype" w:hAnsi="Palatino Linotype" w:cs="Arial"/>
          <w:color w:val="000000" w:themeColor="text1"/>
        </w:rPr>
      </w:pPr>
      <w:r w:rsidRPr="007322B7">
        <w:rPr>
          <w:rFonts w:ascii="Palatino Linotype" w:eastAsia="Calibri" w:hAnsi="Palatino Linotype" w:cs="Arial"/>
        </w:rPr>
        <w:t>Lo anterior,</w:t>
      </w:r>
      <w:r w:rsidR="003331EE" w:rsidRPr="007322B7">
        <w:rPr>
          <w:rFonts w:ascii="Palatino Linotype" w:eastAsia="Calibri" w:hAnsi="Palatino Linotype" w:cs="Arial"/>
        </w:rPr>
        <w:t xml:space="preserve"> deriva </w:t>
      </w:r>
      <w:r w:rsidRPr="007322B7">
        <w:rPr>
          <w:rFonts w:ascii="Palatino Linotype" w:eastAsia="Calibri" w:hAnsi="Palatino Linotype" w:cs="Arial"/>
        </w:rPr>
        <w:t>en virtud</w:t>
      </w:r>
      <w:r w:rsidR="003331EE" w:rsidRPr="007322B7">
        <w:rPr>
          <w:rFonts w:ascii="Palatino Linotype" w:eastAsia="Calibri" w:hAnsi="Palatino Linotype" w:cs="Arial"/>
        </w:rPr>
        <w:t xml:space="preserve"> que en l</w:t>
      </w:r>
      <w:r w:rsidR="00A3395D" w:rsidRPr="007322B7">
        <w:rPr>
          <w:rFonts w:ascii="Palatino Linotype" w:eastAsia="Calibri" w:hAnsi="Palatino Linotype" w:cs="Arial"/>
        </w:rPr>
        <w:t xml:space="preserve">a resolución </w:t>
      </w:r>
      <w:r w:rsidR="000D714D" w:rsidRPr="007322B7">
        <w:rPr>
          <w:rFonts w:ascii="Palatino Linotype" w:eastAsia="Calibri" w:hAnsi="Palatino Linotype" w:cs="Arial"/>
        </w:rPr>
        <w:t>de mérito, se</w:t>
      </w:r>
      <w:r w:rsidRPr="007322B7">
        <w:rPr>
          <w:rFonts w:ascii="Palatino Linotype" w:eastAsia="Calibri" w:hAnsi="Palatino Linotype" w:cs="Arial"/>
        </w:rPr>
        <w:t xml:space="preserve"> determina </w:t>
      </w:r>
      <w:r w:rsidR="00DC3D1C" w:rsidRPr="007322B7">
        <w:rPr>
          <w:rFonts w:ascii="Palatino Linotype" w:eastAsia="Calibri" w:hAnsi="Palatino Linotype" w:cs="Arial"/>
        </w:rPr>
        <w:t>confirma</w:t>
      </w:r>
      <w:r w:rsidR="00DE7DF6" w:rsidRPr="007322B7">
        <w:rPr>
          <w:rFonts w:ascii="Palatino Linotype" w:eastAsia="Calibri" w:hAnsi="Palatino Linotype" w:cs="Arial"/>
        </w:rPr>
        <w:t>r</w:t>
      </w:r>
      <w:r w:rsidR="00A3395D" w:rsidRPr="007322B7">
        <w:rPr>
          <w:rFonts w:ascii="Palatino Linotype" w:eastAsia="Calibri" w:hAnsi="Palatino Linotype" w:cs="Arial"/>
        </w:rPr>
        <w:t xml:space="preserve"> </w:t>
      </w:r>
      <w:r w:rsidR="003503B0" w:rsidRPr="007322B7">
        <w:rPr>
          <w:rFonts w:ascii="Palatino Linotype" w:eastAsia="Calibri" w:hAnsi="Palatino Linotype" w:cs="Arial"/>
        </w:rPr>
        <w:t xml:space="preserve">la respuesta otorgada en </w:t>
      </w:r>
      <w:r w:rsidR="00A3395D" w:rsidRPr="007322B7">
        <w:rPr>
          <w:rFonts w:ascii="Palatino Linotype" w:eastAsia="Calibri" w:hAnsi="Palatino Linotype" w:cs="Arial"/>
        </w:rPr>
        <w:t xml:space="preserve">el </w:t>
      </w:r>
      <w:r w:rsidR="003503B0" w:rsidRPr="007322B7">
        <w:rPr>
          <w:rFonts w:ascii="Palatino Linotype" w:eastAsia="Calibri" w:hAnsi="Palatino Linotype" w:cs="Arial"/>
        </w:rPr>
        <w:t>citado recurso de revisión,</w:t>
      </w:r>
      <w:r w:rsidR="00A3395D" w:rsidRPr="007322B7">
        <w:rPr>
          <w:rFonts w:ascii="Palatino Linotype" w:hAnsi="Palatino Linotype" w:cs="Arial"/>
          <w:b/>
          <w:bCs/>
          <w:color w:val="000000" w:themeColor="text1"/>
        </w:rPr>
        <w:t xml:space="preserve"> </w:t>
      </w:r>
      <w:r w:rsidR="000D714D" w:rsidRPr="007322B7">
        <w:rPr>
          <w:rFonts w:ascii="Palatino Linotype" w:hAnsi="Palatino Linotype" w:cs="Arial"/>
          <w:bCs/>
          <w:color w:val="000000" w:themeColor="text1"/>
        </w:rPr>
        <w:t>en términos de</w:t>
      </w:r>
      <w:r w:rsidR="00A3395D" w:rsidRPr="007322B7">
        <w:rPr>
          <w:rFonts w:ascii="Palatino Linotype" w:hAnsi="Palatino Linotype" w:cs="Arial"/>
          <w:bCs/>
          <w:color w:val="000000" w:themeColor="text1"/>
        </w:rPr>
        <w:t xml:space="preserve"> </w:t>
      </w:r>
      <w:r w:rsidR="000D714D" w:rsidRPr="007322B7">
        <w:rPr>
          <w:rFonts w:ascii="Palatino Linotype" w:hAnsi="Palatino Linotype" w:cs="Arial"/>
          <w:bCs/>
          <w:color w:val="000000" w:themeColor="text1"/>
        </w:rPr>
        <w:t xml:space="preserve">su </w:t>
      </w:r>
      <w:r w:rsidR="003503B0" w:rsidRPr="007322B7">
        <w:rPr>
          <w:rFonts w:ascii="Palatino Linotype" w:hAnsi="Palatino Linotype" w:cs="Arial"/>
          <w:bCs/>
          <w:color w:val="000000" w:themeColor="text1"/>
        </w:rPr>
        <w:t>C</w:t>
      </w:r>
      <w:r w:rsidR="00A3395D" w:rsidRPr="007322B7">
        <w:rPr>
          <w:rFonts w:ascii="Palatino Linotype" w:hAnsi="Palatino Linotype" w:cs="Arial"/>
          <w:bCs/>
          <w:color w:val="000000" w:themeColor="text1"/>
        </w:rPr>
        <w:t xml:space="preserve">onsiderando </w:t>
      </w:r>
      <w:r w:rsidR="00DC3D1C" w:rsidRPr="007322B7">
        <w:rPr>
          <w:rFonts w:ascii="Palatino Linotype" w:hAnsi="Palatino Linotype" w:cs="Arial"/>
          <w:bCs/>
          <w:color w:val="000000" w:themeColor="text1"/>
        </w:rPr>
        <w:t>Cuar</w:t>
      </w:r>
      <w:r w:rsidR="000D714D" w:rsidRPr="007322B7">
        <w:rPr>
          <w:rFonts w:ascii="Palatino Linotype" w:hAnsi="Palatino Linotype" w:cs="Arial"/>
          <w:bCs/>
          <w:color w:val="000000" w:themeColor="text1"/>
        </w:rPr>
        <w:t>to</w:t>
      </w:r>
      <w:r w:rsidRPr="007322B7">
        <w:rPr>
          <w:rFonts w:ascii="Palatino Linotype" w:hAnsi="Palatino Linotype" w:cs="Arial"/>
          <w:bCs/>
          <w:color w:val="000000" w:themeColor="text1"/>
        </w:rPr>
        <w:t xml:space="preserve">, </w:t>
      </w:r>
      <w:r w:rsidR="00DC3D1C" w:rsidRPr="007322B7">
        <w:rPr>
          <w:rFonts w:ascii="Palatino Linotype" w:hAnsi="Palatino Linotype" w:cs="Arial"/>
          <w:bCs/>
          <w:color w:val="000000" w:themeColor="text1"/>
        </w:rPr>
        <w:t xml:space="preserve">en virtud que la Ponencia Resolutora considera que el acta de la Sesión Ordinaria del Comité de Transparencia y Acceso a la Información Pública del Poder Judicial del Estado de México número 07/2018, inmersa en la contestación otorgada, se encuentra apegada a derecho, y por tanto el procedimiento para clasificar la información, denominado prueba de daño. Prueba de daño </w:t>
      </w:r>
      <w:r w:rsidR="00F742C0" w:rsidRPr="007322B7">
        <w:rPr>
          <w:rFonts w:ascii="Palatino Linotype" w:hAnsi="Palatino Linotype" w:cs="Arial"/>
          <w:bCs/>
          <w:color w:val="000000" w:themeColor="text1"/>
        </w:rPr>
        <w:t xml:space="preserve">que </w:t>
      </w:r>
      <w:r w:rsidR="00DC3D1C" w:rsidRPr="007322B7">
        <w:rPr>
          <w:rFonts w:ascii="Palatino Linotype" w:hAnsi="Palatino Linotype" w:cs="Arial"/>
          <w:bCs/>
          <w:color w:val="000000" w:themeColor="text1"/>
        </w:rPr>
        <w:t xml:space="preserve">también </w:t>
      </w:r>
      <w:r w:rsidR="00F742C0" w:rsidRPr="007322B7">
        <w:rPr>
          <w:rFonts w:ascii="Palatino Linotype" w:hAnsi="Palatino Linotype" w:cs="Arial"/>
          <w:bCs/>
          <w:color w:val="000000" w:themeColor="text1"/>
        </w:rPr>
        <w:t xml:space="preserve">a su decir </w:t>
      </w:r>
      <w:r w:rsidR="00DC3D1C" w:rsidRPr="007322B7">
        <w:rPr>
          <w:rFonts w:ascii="Palatino Linotype" w:hAnsi="Palatino Linotype" w:cs="Arial"/>
          <w:bCs/>
          <w:color w:val="000000" w:themeColor="text1"/>
        </w:rPr>
        <w:t>se encuentra ajustada a derecho, al fundarse</w:t>
      </w:r>
      <w:r w:rsidR="00F742C0" w:rsidRPr="007322B7">
        <w:rPr>
          <w:rFonts w:ascii="Palatino Linotype" w:hAnsi="Palatino Linotype" w:cs="Arial"/>
          <w:bCs/>
          <w:color w:val="000000" w:themeColor="text1"/>
        </w:rPr>
        <w:t xml:space="preserve"> </w:t>
      </w:r>
      <w:r w:rsidR="00DC3D1C" w:rsidRPr="007322B7">
        <w:rPr>
          <w:rFonts w:ascii="Palatino Linotype" w:hAnsi="Palatino Linotype" w:cs="Arial"/>
          <w:bCs/>
          <w:color w:val="000000" w:themeColor="text1"/>
        </w:rPr>
        <w:t xml:space="preserve">en lo precisado en la Ley General de Transparencia y Acceso a la Información Pública; Ley de Transparencia y Acceso a la Información Pública del Estado de México y Municipios y en los Lineamientos Generales de Clasificación y Desclasificación de la Información; ordenamientos que señalan que en la prueba </w:t>
      </w:r>
      <w:r w:rsidR="00DC3D1C" w:rsidRPr="007322B7">
        <w:rPr>
          <w:rFonts w:ascii="Palatino Linotype" w:hAnsi="Palatino Linotype" w:cs="Arial"/>
          <w:bCs/>
          <w:color w:val="000000" w:themeColor="text1"/>
        </w:rPr>
        <w:lastRenderedPageBreak/>
        <w:t>de daño se precisará el riesgo real, demostrable e identificable que generaría la divulgación de la información; el riesgo de perjuicio que supondría la divulgación, y que la limitación se adecua al principio de proporcionalidad.</w:t>
      </w:r>
    </w:p>
    <w:p w:rsidR="00DC3D1C" w:rsidRPr="007322B7" w:rsidRDefault="00DC3D1C" w:rsidP="00DC3D1C">
      <w:pPr>
        <w:pStyle w:val="Prrafodelista"/>
        <w:rPr>
          <w:rFonts w:ascii="Palatino Linotype" w:hAnsi="Palatino Linotype" w:cs="Arial"/>
          <w:bCs/>
          <w:color w:val="000000" w:themeColor="text1"/>
        </w:rPr>
      </w:pPr>
    </w:p>
    <w:p w:rsidR="00F742C0" w:rsidRPr="007322B7" w:rsidRDefault="00DC3D1C" w:rsidP="004F719D">
      <w:pPr>
        <w:pStyle w:val="Prrafodelista"/>
        <w:numPr>
          <w:ilvl w:val="0"/>
          <w:numId w:val="9"/>
        </w:numPr>
        <w:tabs>
          <w:tab w:val="left" w:pos="709"/>
        </w:tabs>
        <w:spacing w:line="360" w:lineRule="auto"/>
        <w:ind w:left="284" w:hanging="218"/>
        <w:jc w:val="both"/>
        <w:rPr>
          <w:rFonts w:ascii="Palatino Linotype" w:hAnsi="Palatino Linotype" w:cs="Arial"/>
          <w:color w:val="000000" w:themeColor="text1"/>
        </w:rPr>
      </w:pPr>
      <w:r w:rsidRPr="007322B7">
        <w:rPr>
          <w:rFonts w:ascii="Palatino Linotype" w:hAnsi="Palatino Linotype" w:cs="Arial"/>
        </w:rPr>
        <w:t xml:space="preserve">Por lo que a </w:t>
      </w:r>
      <w:r w:rsidR="00F742C0" w:rsidRPr="007322B7">
        <w:rPr>
          <w:rFonts w:ascii="Palatino Linotype" w:hAnsi="Palatino Linotype" w:cs="Arial"/>
        </w:rPr>
        <w:t>consideración</w:t>
      </w:r>
      <w:r w:rsidRPr="007322B7">
        <w:rPr>
          <w:rFonts w:ascii="Palatino Linotype" w:hAnsi="Palatino Linotype" w:cs="Arial"/>
        </w:rPr>
        <w:t xml:space="preserve"> de la Ponencia resolutora, se </w:t>
      </w:r>
      <w:r w:rsidR="00F742C0" w:rsidRPr="007322B7">
        <w:rPr>
          <w:rFonts w:ascii="Palatino Linotype" w:hAnsi="Palatino Linotype" w:cs="Arial"/>
        </w:rPr>
        <w:t>llevó</w:t>
      </w:r>
      <w:r w:rsidRPr="007322B7">
        <w:rPr>
          <w:rFonts w:ascii="Palatino Linotype" w:hAnsi="Palatino Linotype" w:cs="Arial"/>
        </w:rPr>
        <w:t xml:space="preserve"> </w:t>
      </w:r>
      <w:r w:rsidR="00F742C0" w:rsidRPr="007322B7">
        <w:rPr>
          <w:rFonts w:ascii="Palatino Linotype" w:hAnsi="Palatino Linotype" w:cs="Arial"/>
        </w:rPr>
        <w:t>a cabo</w:t>
      </w:r>
      <w:r w:rsidRPr="007322B7">
        <w:rPr>
          <w:rFonts w:ascii="Palatino Linotype" w:hAnsi="Palatino Linotype" w:cs="Arial"/>
        </w:rPr>
        <w:t xml:space="preserve"> un estudio y análisis exhaustivo de la multicitada acta de sesión, </w:t>
      </w:r>
      <w:r w:rsidR="00F742C0" w:rsidRPr="007322B7">
        <w:rPr>
          <w:rFonts w:ascii="Palatino Linotype" w:hAnsi="Palatino Linotype" w:cs="Arial"/>
        </w:rPr>
        <w:t>y se acredito</w:t>
      </w:r>
      <w:r w:rsidRPr="007322B7">
        <w:rPr>
          <w:rFonts w:ascii="Palatino Linotype" w:hAnsi="Palatino Linotype" w:cs="Arial"/>
        </w:rPr>
        <w:t xml:space="preserve"> que la misma se encuentra ajustada a derecho al contener una debida fundamentación y motivación que justifiquen el </w:t>
      </w:r>
      <w:r w:rsidR="00F742C0" w:rsidRPr="007322B7">
        <w:rPr>
          <w:rFonts w:ascii="Palatino Linotype" w:hAnsi="Palatino Linotype" w:cs="Arial"/>
        </w:rPr>
        <w:t>por qué</w:t>
      </w:r>
      <w:r w:rsidRPr="007322B7">
        <w:rPr>
          <w:rFonts w:ascii="Palatino Linotype" w:hAnsi="Palatino Linotype" w:cs="Arial"/>
        </w:rPr>
        <w:t xml:space="preserve"> la información peticionada encuadra en la reserva de la información.</w:t>
      </w:r>
    </w:p>
    <w:p w:rsidR="00F742C0" w:rsidRPr="007322B7" w:rsidRDefault="00F742C0" w:rsidP="00F742C0">
      <w:pPr>
        <w:pStyle w:val="Prrafodelista"/>
        <w:rPr>
          <w:rFonts w:ascii="Palatino Linotype" w:hAnsi="Palatino Linotype" w:cs="Arial"/>
          <w:color w:val="000000" w:themeColor="text1"/>
        </w:rPr>
      </w:pPr>
    </w:p>
    <w:p w:rsidR="007B70C2" w:rsidRPr="007322B7" w:rsidRDefault="00F742C0" w:rsidP="00B70A00">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360" w:lineRule="auto"/>
        <w:ind w:left="284" w:hanging="284"/>
        <w:jc w:val="both"/>
        <w:rPr>
          <w:rFonts w:ascii="Palatino Linotype" w:hAnsi="Palatino Linotype" w:cs="Arial"/>
          <w:color w:val="000000" w:themeColor="text1"/>
        </w:rPr>
      </w:pPr>
      <w:r w:rsidRPr="007322B7">
        <w:rPr>
          <w:rFonts w:ascii="Palatino Linotype" w:hAnsi="Palatino Linotype" w:cs="Arial"/>
          <w:color w:val="000000" w:themeColor="text1"/>
        </w:rPr>
        <w:t>R</w:t>
      </w:r>
      <w:r w:rsidR="000D714D" w:rsidRPr="007322B7">
        <w:rPr>
          <w:rFonts w:ascii="Palatino Linotype" w:hAnsi="Palatino Linotype" w:cs="Arial"/>
          <w:color w:val="000000" w:themeColor="text1"/>
        </w:rPr>
        <w:t>azonamiento del que me aparto, p</w:t>
      </w:r>
      <w:r w:rsidR="007B70C2" w:rsidRPr="007322B7">
        <w:rPr>
          <w:rFonts w:ascii="Palatino Linotype" w:hAnsi="Palatino Linotype" w:cs="Arial"/>
          <w:color w:val="000000" w:themeColor="text1"/>
        </w:rPr>
        <w:t xml:space="preserve">or los motivos y las razones de hecho y de derecho que se señalan a continuación y en términos de lo señalado por </w:t>
      </w:r>
      <w:r w:rsidR="00E12C1D" w:rsidRPr="007322B7">
        <w:rPr>
          <w:rFonts w:ascii="Palatino Linotype" w:hAnsi="Palatino Linotype" w:cs="Arial"/>
          <w:color w:val="000000" w:themeColor="text1"/>
        </w:rPr>
        <w:t>el</w:t>
      </w:r>
      <w:r w:rsidR="007B70C2" w:rsidRPr="007322B7">
        <w:rPr>
          <w:rFonts w:ascii="Palatino Linotype" w:hAnsi="Palatino Linotype" w:cs="Arial"/>
          <w:color w:val="000000" w:themeColor="text1"/>
        </w:rPr>
        <w:t xml:space="preserve"> </w:t>
      </w:r>
      <w:r w:rsidR="00E12C1D" w:rsidRPr="007322B7">
        <w:rPr>
          <w:rFonts w:ascii="Palatino Linotype" w:hAnsi="Palatino Linotype" w:cs="Arial"/>
          <w:color w:val="000000" w:themeColor="text1"/>
        </w:rPr>
        <w:t>artículo</w:t>
      </w:r>
      <w:r w:rsidR="007B70C2" w:rsidRPr="007322B7">
        <w:rPr>
          <w:rFonts w:ascii="Palatino Linotype" w:hAnsi="Palatino Linotype" w:cs="Arial"/>
          <w:color w:val="000000" w:themeColor="text1"/>
        </w:rPr>
        <w:t xml:space="preserve"> </w:t>
      </w:r>
      <w:r w:rsidR="00E12C1D" w:rsidRPr="007322B7">
        <w:rPr>
          <w:rFonts w:ascii="Palatino Linotype" w:hAnsi="Palatino Linotype" w:cs="Arial"/>
          <w:color w:val="000000" w:themeColor="text1"/>
        </w:rPr>
        <w:t>14</w:t>
      </w:r>
      <w:r w:rsidR="007B70C2" w:rsidRPr="007322B7">
        <w:rPr>
          <w:rFonts w:ascii="Palatino Linotype" w:hAnsi="Palatino Linotype" w:cs="Arial"/>
          <w:color w:val="000000" w:themeColor="text1"/>
        </w:rPr>
        <w:t xml:space="preserve"> fracción </w:t>
      </w:r>
      <w:r w:rsidR="00E12C1D" w:rsidRPr="007322B7">
        <w:rPr>
          <w:rFonts w:ascii="Palatino Linotype" w:hAnsi="Palatino Linotype" w:cs="Arial"/>
          <w:color w:val="000000" w:themeColor="text1"/>
        </w:rPr>
        <w:t>XI</w:t>
      </w:r>
      <w:r w:rsidR="007B70C2" w:rsidRPr="007322B7">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7322B7">
        <w:rPr>
          <w:rFonts w:ascii="Palatino Linotype" w:hAnsi="Palatino Linotype" w:cs="Arial"/>
          <w:color w:val="000000" w:themeColor="text1"/>
        </w:rPr>
        <w:t>,</w:t>
      </w:r>
      <w:r w:rsidR="007B70C2" w:rsidRPr="007322B7">
        <w:rPr>
          <w:rFonts w:ascii="Palatino Linotype" w:hAnsi="Palatino Linotype" w:cs="Arial"/>
          <w:color w:val="000000" w:themeColor="text1"/>
        </w:rPr>
        <w:t xml:space="preserve"> formulo el presente voto disidente. </w:t>
      </w:r>
    </w:p>
    <w:p w:rsidR="00F742C0" w:rsidRPr="007322B7" w:rsidRDefault="00F742C0" w:rsidP="00F742C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jc w:val="both"/>
        <w:rPr>
          <w:rFonts w:ascii="Palatino Linotype" w:hAnsi="Palatino Linotype" w:cs="Arial"/>
          <w:color w:val="000000" w:themeColor="text1"/>
        </w:rPr>
      </w:pPr>
    </w:p>
    <w:p w:rsidR="00FC0B18" w:rsidRPr="007322B7" w:rsidRDefault="007B70C2" w:rsidP="00D74377">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jc w:val="both"/>
        <w:rPr>
          <w:rFonts w:ascii="Palatino Linotype" w:hAnsi="Palatino Linotype" w:cs="Arial"/>
          <w:color w:val="000000" w:themeColor="text1"/>
        </w:rPr>
      </w:pPr>
      <w:r w:rsidRPr="007322B7">
        <w:rPr>
          <w:rFonts w:ascii="Palatino Linotype" w:hAnsi="Palatino Linotype" w:cs="Arial"/>
          <w:color w:val="000000" w:themeColor="text1"/>
          <w:lang w:val="es-ES"/>
        </w:rPr>
        <w:t>Al presentar este voto disidente deseo manifestar lo que en su momento señalé durante la discusión de esta res</w:t>
      </w:r>
      <w:r w:rsidR="00FC0B18" w:rsidRPr="007322B7">
        <w:rPr>
          <w:rFonts w:ascii="Palatino Linotype" w:hAnsi="Palatino Linotype" w:cs="Arial"/>
          <w:color w:val="000000" w:themeColor="text1"/>
          <w:lang w:val="es-ES"/>
        </w:rPr>
        <w:t>olución</w:t>
      </w:r>
      <w:r w:rsidR="007A4E77" w:rsidRPr="007322B7">
        <w:rPr>
          <w:rFonts w:ascii="Palatino Linotype" w:hAnsi="Palatino Linotype" w:cs="Arial"/>
          <w:color w:val="000000" w:themeColor="text1"/>
          <w:lang w:val="es-ES"/>
        </w:rPr>
        <w:t xml:space="preserve"> en el Pleno de este órgano Garante, e</w:t>
      </w:r>
      <w:r w:rsidR="00FC0B18" w:rsidRPr="007322B7">
        <w:rPr>
          <w:rFonts w:ascii="Palatino Linotype" w:hAnsi="Palatino Linotype" w:cs="Arial"/>
          <w:color w:val="000000" w:themeColor="text1"/>
          <w:lang w:val="es-ES"/>
        </w:rPr>
        <w:t xml:space="preserve">specificando que no comparto la decisión adoptada por la mayoría de los Comisionados integrantes del </w:t>
      </w:r>
      <w:r w:rsidR="00941946" w:rsidRPr="007322B7">
        <w:rPr>
          <w:rFonts w:ascii="Palatino Linotype" w:hAnsi="Palatino Linotype" w:cs="Arial"/>
          <w:color w:val="000000" w:themeColor="text1"/>
          <w:lang w:val="es-ES"/>
        </w:rPr>
        <w:t>P</w:t>
      </w:r>
      <w:r w:rsidR="00FC0B18" w:rsidRPr="007322B7">
        <w:rPr>
          <w:rFonts w:ascii="Palatino Linotype" w:hAnsi="Palatino Linotype" w:cs="Arial"/>
          <w:color w:val="000000" w:themeColor="text1"/>
          <w:lang w:val="es-ES"/>
        </w:rPr>
        <w:t xml:space="preserve">leno, en el sentido </w:t>
      </w:r>
      <w:r w:rsidR="00343467" w:rsidRPr="007322B7">
        <w:rPr>
          <w:rFonts w:ascii="Palatino Linotype" w:hAnsi="Palatino Linotype" w:cs="Arial"/>
          <w:color w:val="000000" w:themeColor="text1"/>
          <w:lang w:val="es-ES"/>
        </w:rPr>
        <w:t xml:space="preserve">y razonamientos </w:t>
      </w:r>
      <w:r w:rsidR="00FC0B18" w:rsidRPr="007322B7">
        <w:rPr>
          <w:rFonts w:ascii="Palatino Linotype" w:hAnsi="Palatino Linotype" w:cs="Arial"/>
          <w:color w:val="000000" w:themeColor="text1"/>
          <w:lang w:val="es-ES"/>
        </w:rPr>
        <w:t>de la resol</w:t>
      </w:r>
      <w:r w:rsidR="000D714D" w:rsidRPr="007322B7">
        <w:rPr>
          <w:rFonts w:ascii="Palatino Linotype" w:hAnsi="Palatino Linotype" w:cs="Arial"/>
          <w:color w:val="000000" w:themeColor="text1"/>
          <w:lang w:val="es-ES"/>
        </w:rPr>
        <w:t>ución del recurso de revisión</w:t>
      </w:r>
      <w:r w:rsidR="00FC0B18" w:rsidRPr="007322B7">
        <w:rPr>
          <w:rFonts w:ascii="Palatino Linotype" w:hAnsi="Palatino Linotype" w:cs="Arial"/>
          <w:color w:val="000000" w:themeColor="text1"/>
          <w:lang w:val="es-ES"/>
        </w:rPr>
        <w:t xml:space="preserve"> registrado con el número </w:t>
      </w:r>
      <w:r w:rsidR="000D714D" w:rsidRPr="007322B7">
        <w:rPr>
          <w:rFonts w:ascii="Palatino Linotype" w:hAnsi="Palatino Linotype" w:cs="Arial"/>
          <w:color w:val="000000" w:themeColor="text1"/>
          <w:lang w:val="es-ES"/>
        </w:rPr>
        <w:t>de expediente al rubro indicado, por las consideraciones que se plasman en los párrafos siguientes.</w:t>
      </w:r>
    </w:p>
    <w:p w:rsidR="00A410B3" w:rsidRPr="007322B7" w:rsidRDefault="00A410B3" w:rsidP="00CF16BC">
      <w:pPr>
        <w:pStyle w:val="Ttulo1"/>
      </w:pPr>
      <w:bookmarkStart w:id="2" w:name="_Toc473810012"/>
      <w:bookmarkStart w:id="3" w:name="_Toc525562355"/>
      <w:bookmarkStart w:id="4" w:name="_Toc472594392"/>
      <w:bookmarkStart w:id="5" w:name="_Toc485911590"/>
      <w:r w:rsidRPr="007322B7">
        <w:lastRenderedPageBreak/>
        <w:t>De los requerimientos planteados en el recurso de revisión.</w:t>
      </w:r>
      <w:bookmarkEnd w:id="2"/>
      <w:bookmarkEnd w:id="3"/>
    </w:p>
    <w:p w:rsidR="00A410B3" w:rsidRPr="007322B7" w:rsidRDefault="00A410B3" w:rsidP="00A410B3">
      <w:pPr>
        <w:pStyle w:val="Prrafodelista"/>
        <w:spacing w:line="360" w:lineRule="auto"/>
        <w:ind w:left="1080"/>
        <w:jc w:val="both"/>
        <w:rPr>
          <w:rFonts w:ascii="Palatino Linotype" w:hAnsi="Palatino Linotype" w:cs="Arial"/>
          <w:b/>
        </w:rPr>
      </w:pPr>
    </w:p>
    <w:p w:rsidR="00A410B3" w:rsidRPr="007322B7" w:rsidRDefault="00C648C5" w:rsidP="004F719D">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Times New Roman" w:hAnsi="Palatino Linotype" w:cs="Arial"/>
        </w:rPr>
      </w:pPr>
      <w:r w:rsidRPr="007322B7">
        <w:rPr>
          <w:rFonts w:ascii="Palatino Linotype" w:hAnsi="Palatino Linotype" w:cs="Arial"/>
        </w:rPr>
        <w:t>La señora</w:t>
      </w:r>
      <w:r w:rsidR="00A410B3" w:rsidRPr="007322B7">
        <w:rPr>
          <w:rFonts w:ascii="Palatino Linotype" w:hAnsi="Palatino Linotype" w:cs="Arial"/>
        </w:rPr>
        <w:t xml:space="preserve"> </w:t>
      </w:r>
      <w:r w:rsidR="0062117B" w:rsidRPr="0062117B">
        <w:rPr>
          <w:rFonts w:ascii="Palatino Linotype" w:hAnsi="Palatino Linotype" w:cs="Arial"/>
          <w:b/>
          <w:highlight w:val="black"/>
        </w:rPr>
        <w:t>-------------------------------------------</w:t>
      </w:r>
      <w:bookmarkStart w:id="6" w:name="_GoBack"/>
      <w:bookmarkEnd w:id="6"/>
      <w:r w:rsidR="00A410B3" w:rsidRPr="007322B7">
        <w:rPr>
          <w:rFonts w:ascii="Palatino Linotype" w:hAnsi="Palatino Linotype" w:cs="Arial"/>
        </w:rPr>
        <w:t xml:space="preserve">, mediante solicitud de acceso a la información requirió la información siguiente: </w:t>
      </w:r>
    </w:p>
    <w:p w:rsidR="00A410B3" w:rsidRPr="007322B7" w:rsidRDefault="00A410B3" w:rsidP="00A410B3">
      <w:pPr>
        <w:pStyle w:val="Prrafodelista"/>
        <w:spacing w:before="240" w:after="240" w:line="360" w:lineRule="auto"/>
        <w:ind w:left="360"/>
        <w:jc w:val="both"/>
        <w:rPr>
          <w:rFonts w:ascii="Palatino Linotype" w:hAnsi="Palatino Linotype"/>
          <w:b/>
          <w:bCs/>
          <w:color w:val="000000" w:themeColor="text1"/>
        </w:rPr>
      </w:pPr>
    </w:p>
    <w:p w:rsidR="00A410B3" w:rsidRPr="007322B7" w:rsidRDefault="00A410B3" w:rsidP="00A410B3">
      <w:pPr>
        <w:pStyle w:val="Prrafodelista"/>
        <w:spacing w:before="240" w:after="240" w:line="360" w:lineRule="auto"/>
        <w:ind w:left="360"/>
        <w:jc w:val="both"/>
        <w:rPr>
          <w:rFonts w:ascii="Palatino Linotype" w:hAnsi="Palatino Linotype"/>
          <w:color w:val="000000" w:themeColor="text1"/>
        </w:rPr>
      </w:pPr>
      <w:r w:rsidRPr="007322B7">
        <w:rPr>
          <w:rFonts w:ascii="Palatino Linotype" w:hAnsi="Palatino Linotype"/>
          <w:b/>
          <w:bCs/>
          <w:color w:val="000000" w:themeColor="text1"/>
        </w:rPr>
        <w:t xml:space="preserve">Solicitud  </w:t>
      </w:r>
      <w:r w:rsidR="00F742C0" w:rsidRPr="007322B7">
        <w:rPr>
          <w:rFonts w:ascii="Palatino Linotype" w:hAnsi="Palatino Linotype"/>
          <w:b/>
          <w:bCs/>
          <w:color w:val="000000" w:themeColor="text1"/>
        </w:rPr>
        <w:t>00329/PJUDICI/IP/2018</w:t>
      </w:r>
      <w:r w:rsidRPr="007322B7">
        <w:rPr>
          <w:rFonts w:ascii="Palatino Linotype" w:hAnsi="Palatino Linotype"/>
          <w:b/>
          <w:bCs/>
          <w:color w:val="000000" w:themeColor="text1"/>
        </w:rPr>
        <w:t>:</w:t>
      </w:r>
    </w:p>
    <w:p w:rsidR="00A410B3" w:rsidRPr="007322B7" w:rsidRDefault="00A410B3" w:rsidP="00A410B3">
      <w:pPr>
        <w:pStyle w:val="Sinespaciado"/>
        <w:tabs>
          <w:tab w:val="left" w:pos="142"/>
        </w:tabs>
        <w:spacing w:line="360" w:lineRule="auto"/>
        <w:ind w:left="567" w:right="334"/>
        <w:jc w:val="both"/>
        <w:rPr>
          <w:rFonts w:ascii="Palatino Linotype" w:hAnsi="Palatino Linotype" w:cs="Arial"/>
          <w:i/>
          <w:color w:val="000000" w:themeColor="text1"/>
          <w:sz w:val="24"/>
          <w:szCs w:val="24"/>
        </w:rPr>
      </w:pPr>
      <w:r w:rsidRPr="007322B7">
        <w:rPr>
          <w:rFonts w:ascii="Palatino Linotype" w:hAnsi="Palatino Linotype" w:cs="Arial"/>
          <w:i/>
          <w:color w:val="000000" w:themeColor="text1"/>
          <w:sz w:val="24"/>
          <w:szCs w:val="24"/>
        </w:rPr>
        <w:t>“</w:t>
      </w:r>
      <w:r w:rsidR="00F742C0" w:rsidRPr="007322B7">
        <w:rPr>
          <w:rFonts w:ascii="Palatino Linotype" w:hAnsi="Palatino Linotype" w:cs="Arial"/>
          <w:i/>
          <w:color w:val="000000" w:themeColor="text1"/>
          <w:sz w:val="24"/>
          <w:szCs w:val="24"/>
        </w:rPr>
        <w:t>Copias Certificadas de todo lo actuado en el expediente 612/2010 en el Juzgado Décimo Civil en Huixquilucan Estado de México.</w:t>
      </w:r>
      <w:r w:rsidRPr="007322B7">
        <w:rPr>
          <w:rFonts w:ascii="Palatino Linotype" w:hAnsi="Palatino Linotype" w:cs="Arial"/>
          <w:i/>
          <w:color w:val="000000" w:themeColor="text1"/>
          <w:sz w:val="24"/>
          <w:szCs w:val="24"/>
        </w:rPr>
        <w:t>” (Sic)</w:t>
      </w:r>
    </w:p>
    <w:p w:rsidR="00A410B3" w:rsidRPr="007322B7" w:rsidRDefault="00A410B3" w:rsidP="00A410B3">
      <w:pPr>
        <w:pStyle w:val="Sinespaciado"/>
        <w:spacing w:line="360" w:lineRule="auto"/>
        <w:ind w:left="360" w:right="334"/>
        <w:jc w:val="both"/>
        <w:rPr>
          <w:rFonts w:ascii="Palatino Linotype" w:hAnsi="Palatino Linotype" w:cs="Arial"/>
          <w:i/>
          <w:color w:val="000000" w:themeColor="text1"/>
          <w:sz w:val="24"/>
          <w:szCs w:val="24"/>
        </w:rPr>
      </w:pPr>
    </w:p>
    <w:p w:rsidR="00075028" w:rsidRPr="007322B7" w:rsidRDefault="00075028" w:rsidP="00075028">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b/>
        </w:rPr>
      </w:pPr>
      <w:r w:rsidRPr="007322B7">
        <w:rPr>
          <w:rFonts w:ascii="Palatino Linotype" w:hAnsi="Palatino Linotype"/>
        </w:rPr>
        <w:t xml:space="preserve">El Sujeto Obligado en fecha seis de junio de dos mil dieciocho, requirió a la </w:t>
      </w:r>
      <w:r w:rsidRPr="007322B7">
        <w:rPr>
          <w:rFonts w:ascii="Palatino Linotype" w:hAnsi="Palatino Linotype"/>
          <w:b/>
        </w:rPr>
        <w:t xml:space="preserve">recurrente </w:t>
      </w:r>
      <w:r w:rsidRPr="007322B7">
        <w:rPr>
          <w:rFonts w:ascii="Palatino Linotype" w:hAnsi="Palatino Linotype"/>
        </w:rPr>
        <w:t>para que dentro del plazo de diez días hábiles, ampliara los datos de lo peticionado, toda vez que dentro de su estructura orgánica, no se cuenta con un Juzgado Décimo Civil en Huixquilucan.</w:t>
      </w:r>
    </w:p>
    <w:p w:rsidR="00075028" w:rsidRPr="007322B7" w:rsidRDefault="00075028" w:rsidP="0007502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b/>
        </w:rPr>
      </w:pPr>
    </w:p>
    <w:p w:rsidR="00075028" w:rsidRPr="007322B7" w:rsidRDefault="00075028" w:rsidP="00075028">
      <w:pPr>
        <w:pStyle w:val="Prrafodelista"/>
        <w:numPr>
          <w:ilvl w:val="0"/>
          <w:numId w:val="45"/>
        </w:numPr>
        <w:spacing w:line="360" w:lineRule="auto"/>
        <w:jc w:val="both"/>
        <w:rPr>
          <w:rFonts w:ascii="Palatino Linotype" w:hAnsi="Palatino Linotype" w:cs="Arial"/>
        </w:rPr>
      </w:pPr>
      <w:r w:rsidRPr="007322B7">
        <w:rPr>
          <w:rFonts w:ascii="Palatino Linotype" w:hAnsi="Palatino Linotype" w:cs="Arial"/>
        </w:rPr>
        <w:t>Requerimiento que fue desahogado por la recurrente</w:t>
      </w:r>
      <w:r w:rsidRPr="007322B7">
        <w:rPr>
          <w:rFonts w:ascii="Palatino Linotype" w:hAnsi="Palatino Linotype" w:cs="Arial"/>
          <w:b/>
        </w:rPr>
        <w:t xml:space="preserve"> </w:t>
      </w:r>
      <w:r w:rsidRPr="007322B7">
        <w:rPr>
          <w:rFonts w:ascii="Palatino Linotype" w:hAnsi="Palatino Linotype" w:cs="Arial"/>
        </w:rPr>
        <w:t>en fecha diecinueve de junio del presente año, en los términos siguientes:</w:t>
      </w:r>
    </w:p>
    <w:p w:rsidR="00075028" w:rsidRPr="007322B7" w:rsidRDefault="00075028" w:rsidP="00075028">
      <w:pPr>
        <w:pStyle w:val="Prrafodelista"/>
        <w:ind w:left="426" w:right="567"/>
        <w:jc w:val="both"/>
        <w:rPr>
          <w:rFonts w:ascii="Palatino Linotype" w:hAnsi="Palatino Linotype" w:cs="Arial"/>
          <w:i/>
        </w:rPr>
      </w:pPr>
    </w:p>
    <w:p w:rsidR="00075028" w:rsidRPr="007322B7" w:rsidRDefault="00075028" w:rsidP="00075028">
      <w:pPr>
        <w:pStyle w:val="Prrafodelista"/>
        <w:spacing w:line="360" w:lineRule="auto"/>
        <w:ind w:left="992" w:right="567"/>
        <w:jc w:val="both"/>
        <w:rPr>
          <w:rFonts w:ascii="Palatino Linotype" w:hAnsi="Palatino Linotype" w:cs="Arial"/>
          <w:i/>
        </w:rPr>
      </w:pPr>
      <w:r w:rsidRPr="007322B7">
        <w:rPr>
          <w:rFonts w:ascii="Palatino Linotype" w:hAnsi="Palatino Linotype" w:cs="Arial"/>
          <w:i/>
        </w:rPr>
        <w:t xml:space="preserve">“Respecto al Juzgado señalo el JUZGADO DECIMO FAMILIAR DE TLALNEPANTLA (HUIXQUILUCAN), y en demás información me encuentro impedida de proporcionar mayores datos ya que no soy parte dentro del procedimiento. Expediente número 612/2010 radicado en el Juzgado Décimo Familiar de Tlalnepantla (Huixquilucan) juzgado que </w:t>
      </w:r>
      <w:r w:rsidRPr="007322B7">
        <w:rPr>
          <w:rFonts w:ascii="Palatino Linotype" w:hAnsi="Palatino Linotype" w:cs="Arial"/>
          <w:i/>
        </w:rPr>
        <w:lastRenderedPageBreak/>
        <w:t>cuenta con la siguiente dirección Prolongación Av. Morelos s/n Camino Huixquilucan San Ramón, Barrio de San Juan Bautista, 52760.”</w:t>
      </w:r>
    </w:p>
    <w:p w:rsidR="00075028" w:rsidRPr="007322B7" w:rsidRDefault="00075028" w:rsidP="0007502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A410B3" w:rsidRPr="007322B7" w:rsidRDefault="00075028" w:rsidP="004F719D">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r w:rsidRPr="007322B7">
        <w:rPr>
          <w:rFonts w:ascii="Palatino Linotype" w:hAnsi="Palatino Linotype" w:cs="Arial"/>
        </w:rPr>
        <w:t xml:space="preserve">Posteriormente, derivado de la contestación emitida, </w:t>
      </w:r>
      <w:r w:rsidR="00C648C5" w:rsidRPr="007322B7">
        <w:rPr>
          <w:rFonts w:ascii="Palatino Linotype" w:hAnsi="Palatino Linotype" w:cs="Arial"/>
        </w:rPr>
        <w:t>la hoy recurrente</w:t>
      </w:r>
      <w:r w:rsidR="00A410B3" w:rsidRPr="007322B7">
        <w:rPr>
          <w:rFonts w:ascii="Palatino Linotype" w:hAnsi="Palatino Linotype" w:cs="Arial"/>
        </w:rPr>
        <w:t xml:space="preserve"> manifestó en su recurso de revisión como acto impugnado, y como razones o motivos de inconformidad los siguientes:</w:t>
      </w:r>
    </w:p>
    <w:p w:rsidR="00CF16BC" w:rsidRPr="007322B7" w:rsidRDefault="00CF16BC" w:rsidP="00CF16B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A410B3" w:rsidRPr="007322B7" w:rsidRDefault="00A410B3" w:rsidP="00A410B3">
      <w:pPr>
        <w:pStyle w:val="Prrafodelista"/>
        <w:spacing w:line="360" w:lineRule="auto"/>
        <w:ind w:left="360"/>
        <w:jc w:val="both"/>
        <w:rPr>
          <w:rFonts w:ascii="Palatino Linotype" w:hAnsi="Palatino Linotype" w:cs="Arial"/>
          <w:b/>
        </w:rPr>
      </w:pPr>
      <w:r w:rsidRPr="007322B7">
        <w:rPr>
          <w:rFonts w:ascii="Palatino Linotype" w:hAnsi="Palatino Linotype" w:cs="Arial"/>
          <w:b/>
        </w:rPr>
        <w:t>ACTO IMPUGNADO</w:t>
      </w:r>
      <w:r w:rsidRPr="007322B7">
        <w:rPr>
          <w:rFonts w:ascii="Palatino Linotype" w:hAnsi="Palatino Linotype" w:cs="Arial"/>
          <w:b/>
        </w:rPr>
        <w:tab/>
      </w:r>
    </w:p>
    <w:p w:rsidR="00075028" w:rsidRPr="007322B7" w:rsidRDefault="00075028" w:rsidP="00A410B3">
      <w:pPr>
        <w:pStyle w:val="Prrafodelista"/>
        <w:spacing w:line="360" w:lineRule="auto"/>
        <w:ind w:left="567" w:right="333"/>
        <w:jc w:val="both"/>
        <w:rPr>
          <w:rFonts w:ascii="Palatino Linotype" w:hAnsi="Palatino Linotype" w:cs="Arial"/>
          <w:i/>
        </w:rPr>
      </w:pPr>
    </w:p>
    <w:p w:rsidR="00A410B3" w:rsidRPr="007322B7" w:rsidRDefault="00A410B3" w:rsidP="00A410B3">
      <w:pPr>
        <w:pStyle w:val="Prrafodelista"/>
        <w:spacing w:line="360" w:lineRule="auto"/>
        <w:ind w:left="567" w:right="333"/>
        <w:jc w:val="both"/>
        <w:rPr>
          <w:rFonts w:ascii="Palatino Linotype" w:hAnsi="Palatino Linotype" w:cs="Arial"/>
          <w:i/>
        </w:rPr>
      </w:pPr>
      <w:r w:rsidRPr="007322B7">
        <w:rPr>
          <w:rFonts w:ascii="Palatino Linotype" w:hAnsi="Palatino Linotype" w:cs="Arial"/>
          <w:i/>
        </w:rPr>
        <w:t>“</w:t>
      </w:r>
      <w:r w:rsidR="00F742C0" w:rsidRPr="007322B7">
        <w:rPr>
          <w:rFonts w:ascii="Palatino Linotype" w:hAnsi="Palatino Linotype" w:cs="Arial"/>
          <w:i/>
        </w:rPr>
        <w:t>respuesta de la autoridad de fecha 9 de Julio de 2018 en donde dice que no es posible proporcionar versión pública del expediente 612/2010 radicado en el Juzgado Décimo civil de Primera Instancia del Distrito Judicial de Huixquilucan, toda vez que el expediente no ha quedado firme.</w:t>
      </w:r>
      <w:r w:rsidRPr="007322B7">
        <w:rPr>
          <w:rFonts w:ascii="Palatino Linotype" w:hAnsi="Palatino Linotype" w:cs="Arial"/>
          <w:i/>
        </w:rPr>
        <w:t xml:space="preserve">” </w:t>
      </w:r>
      <w:r w:rsidRPr="007322B7">
        <w:rPr>
          <w:rFonts w:ascii="Palatino Linotype" w:hAnsi="Palatino Linotype" w:cs="Arial"/>
        </w:rPr>
        <w:t>(Sic)</w:t>
      </w:r>
    </w:p>
    <w:p w:rsidR="00A410B3" w:rsidRPr="007322B7" w:rsidRDefault="00A410B3" w:rsidP="00A410B3">
      <w:pPr>
        <w:pStyle w:val="Prrafodelista"/>
        <w:spacing w:line="360" w:lineRule="auto"/>
        <w:ind w:left="360"/>
        <w:jc w:val="both"/>
        <w:rPr>
          <w:rFonts w:ascii="Palatino Linotype" w:hAnsi="Palatino Linotype" w:cs="Arial"/>
        </w:rPr>
      </w:pPr>
    </w:p>
    <w:p w:rsidR="00A410B3" w:rsidRPr="007322B7" w:rsidRDefault="00A410B3" w:rsidP="00A410B3">
      <w:pPr>
        <w:pStyle w:val="Prrafodelista"/>
        <w:spacing w:line="360" w:lineRule="auto"/>
        <w:ind w:left="360"/>
        <w:jc w:val="both"/>
        <w:rPr>
          <w:rFonts w:ascii="Palatino Linotype" w:hAnsi="Palatino Linotype" w:cs="Arial"/>
          <w:b/>
        </w:rPr>
      </w:pPr>
      <w:r w:rsidRPr="007322B7">
        <w:rPr>
          <w:rFonts w:ascii="Palatino Linotype" w:hAnsi="Palatino Linotype" w:cs="Arial"/>
          <w:b/>
        </w:rPr>
        <w:t>RAZONES O MOTIVOS DE LA INCONFORMIDAD</w:t>
      </w:r>
      <w:r w:rsidRPr="007322B7">
        <w:rPr>
          <w:rFonts w:ascii="Palatino Linotype" w:hAnsi="Palatino Linotype" w:cs="Arial"/>
          <w:b/>
        </w:rPr>
        <w:tab/>
      </w:r>
    </w:p>
    <w:p w:rsidR="00075028" w:rsidRPr="007322B7" w:rsidRDefault="00075028" w:rsidP="00A410B3">
      <w:pPr>
        <w:pStyle w:val="Prrafodelista"/>
        <w:spacing w:line="360" w:lineRule="auto"/>
        <w:ind w:left="567" w:right="333"/>
        <w:jc w:val="both"/>
        <w:rPr>
          <w:rFonts w:ascii="Palatino Linotype" w:hAnsi="Palatino Linotype" w:cs="Arial"/>
          <w:i/>
        </w:rPr>
      </w:pPr>
    </w:p>
    <w:p w:rsidR="00A410B3" w:rsidRPr="007322B7" w:rsidRDefault="00A410B3" w:rsidP="00A410B3">
      <w:pPr>
        <w:pStyle w:val="Prrafodelista"/>
        <w:spacing w:line="360" w:lineRule="auto"/>
        <w:ind w:left="567" w:right="333"/>
        <w:jc w:val="both"/>
        <w:rPr>
          <w:rFonts w:ascii="Palatino Linotype" w:hAnsi="Palatino Linotype" w:cs="Arial"/>
        </w:rPr>
      </w:pPr>
      <w:r w:rsidRPr="007322B7">
        <w:rPr>
          <w:rFonts w:ascii="Palatino Linotype" w:hAnsi="Palatino Linotype" w:cs="Arial"/>
          <w:i/>
        </w:rPr>
        <w:t>“</w:t>
      </w:r>
      <w:r w:rsidR="00F742C0" w:rsidRPr="007322B7">
        <w:rPr>
          <w:rFonts w:ascii="Palatino Linotype" w:hAnsi="Palatino Linotype" w:cs="Arial"/>
          <w:i/>
        </w:rPr>
        <w:t>Al realizar una búsqueda dentro de la pagina conocida como buho legal me aparece que no se han realizado actuaciones en ese expediente por lo tanto el mismo debería haber caducado y no negarse la información por no haber quedado firme.</w:t>
      </w:r>
      <w:r w:rsidRPr="007322B7">
        <w:rPr>
          <w:rFonts w:ascii="Palatino Linotype" w:hAnsi="Palatino Linotype" w:cs="Arial"/>
          <w:i/>
        </w:rPr>
        <w:t xml:space="preserve">” </w:t>
      </w:r>
      <w:r w:rsidRPr="007322B7">
        <w:rPr>
          <w:rFonts w:ascii="Palatino Linotype" w:hAnsi="Palatino Linotype" w:cs="Arial"/>
        </w:rPr>
        <w:t>(Sic)</w:t>
      </w:r>
    </w:p>
    <w:p w:rsidR="00F742C0" w:rsidRPr="007322B7" w:rsidRDefault="00F742C0" w:rsidP="00F742C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b/>
        </w:rPr>
      </w:pPr>
    </w:p>
    <w:p w:rsidR="00075028" w:rsidRPr="007322B7" w:rsidRDefault="00075028" w:rsidP="00075028">
      <w:pPr>
        <w:pStyle w:val="Ttulo1"/>
        <w:numPr>
          <w:ilvl w:val="0"/>
          <w:numId w:val="0"/>
        </w:numPr>
        <w:ind w:left="1134"/>
      </w:pPr>
    </w:p>
    <w:p w:rsidR="00864D58" w:rsidRPr="007322B7" w:rsidRDefault="00864D58" w:rsidP="004F719D">
      <w:pPr>
        <w:pStyle w:val="Ttulo1"/>
      </w:pPr>
      <w:bookmarkStart w:id="7" w:name="_Toc525562356"/>
      <w:r w:rsidRPr="007322B7">
        <w:t xml:space="preserve">De la respuesta </w:t>
      </w:r>
      <w:r w:rsidR="00266515" w:rsidRPr="007322B7">
        <w:t>del Sujeto Obligado</w:t>
      </w:r>
      <w:r w:rsidRPr="007322B7">
        <w:t>.</w:t>
      </w:r>
      <w:bookmarkEnd w:id="4"/>
      <w:bookmarkEnd w:id="5"/>
      <w:bookmarkEnd w:id="7"/>
    </w:p>
    <w:p w:rsidR="004F719D" w:rsidRPr="007322B7" w:rsidRDefault="004F719D" w:rsidP="004F719D"/>
    <w:p w:rsidR="00864D58" w:rsidRPr="007322B7" w:rsidRDefault="00864D58" w:rsidP="00864D58">
      <w:pPr>
        <w:rPr>
          <w:rFonts w:ascii="Palatino Linotype" w:hAnsi="Palatino Linotype"/>
          <w:color w:val="000000" w:themeColor="text1"/>
        </w:rPr>
      </w:pPr>
    </w:p>
    <w:p w:rsidR="00170FB4" w:rsidRPr="007322B7" w:rsidRDefault="00170FB4" w:rsidP="004F719D">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sidRPr="007322B7">
        <w:rPr>
          <w:rFonts w:ascii="Palatino Linotype" w:hAnsi="Palatino Linotype" w:cs="Arial"/>
          <w:color w:val="000000"/>
        </w:rPr>
        <w:t>Como ya fuera precisado, e</w:t>
      </w:r>
      <w:r w:rsidR="00266515" w:rsidRPr="007322B7">
        <w:rPr>
          <w:rFonts w:ascii="Palatino Linotype" w:hAnsi="Palatino Linotype" w:cs="Arial"/>
          <w:color w:val="000000"/>
        </w:rPr>
        <w:t>l Sujeto Obligado se pronunció</w:t>
      </w:r>
      <w:r w:rsidR="00C648C5" w:rsidRPr="007322B7">
        <w:rPr>
          <w:rFonts w:ascii="Palatino Linotype" w:hAnsi="Palatino Linotype" w:cs="Arial"/>
          <w:color w:val="000000"/>
        </w:rPr>
        <w:t>, en el sentido de</w:t>
      </w:r>
      <w:r w:rsidR="00266515" w:rsidRPr="007322B7">
        <w:rPr>
          <w:rFonts w:ascii="Palatino Linotype" w:hAnsi="Palatino Linotype" w:cs="Arial"/>
          <w:color w:val="000000"/>
        </w:rPr>
        <w:t xml:space="preserve"> </w:t>
      </w:r>
      <w:r w:rsidRPr="007322B7">
        <w:rPr>
          <w:rFonts w:ascii="Palatino Linotype" w:hAnsi="Palatino Linotype" w:cs="Arial"/>
        </w:rPr>
        <w:t>clasificar como reservado por un plazo de cinco años o bien en tanto no cause estado; sin embargo el acta de la Sesión Ordinaria del Comité de Transparencia y Acceso a la Información Pública del Poder Judicial del Estado de México número 07/2018 remitida mediante la cual se sustenta la clasificación y que se tuvo como apegada a derecho por la mayoría de los integrantes de este Órgano Garante a criterio del que suscribe no debió calificarse en ese sentido por no abarcar los requisitos mínimos que para tal efecto el Sujeto Obligado debe dar observancia.</w:t>
      </w:r>
    </w:p>
    <w:p w:rsidR="00170FB4" w:rsidRPr="007322B7" w:rsidRDefault="00170FB4" w:rsidP="00170FB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lang w:eastAsia="es-MX"/>
        </w:rPr>
      </w:pPr>
    </w:p>
    <w:p w:rsidR="00170FB4" w:rsidRPr="007322B7" w:rsidRDefault="00170FB4" w:rsidP="004F719D">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sidRPr="007322B7">
        <w:rPr>
          <w:rFonts w:ascii="Palatino Linotype" w:hAnsi="Palatino Linotype" w:cs="Arial"/>
          <w:lang w:eastAsia="es-MX"/>
        </w:rPr>
        <w:t xml:space="preserve">Lo anterior, aún y cuando este Instituto </w:t>
      </w:r>
      <w:r w:rsidR="004A6948" w:rsidRPr="007322B7">
        <w:rPr>
          <w:rFonts w:ascii="Palatino Linotype" w:hAnsi="Palatino Linotype" w:cs="Arial"/>
          <w:lang w:eastAsia="es-MX"/>
        </w:rPr>
        <w:t>recientemente formo parte dos (02) Recursos de Inconformidad ante el Instituto Nacional de Transparencia, Acceso a la Información y Protección de Datos Personales, identificados con los numero RIA 069/18 y RIA 082/18, en los que el Órgano Garante Nacional, puntualmente, dirijo a este Órgano Garante local,  que para invocar la causal de reserva, la información que se solicita debe vulnerar  la conducción de los expedientes judiciales o de los procedimientos administrativos seguidos en forma de juicio, siempre y cuando se acrediten los siguientes elementos:</w:t>
      </w:r>
    </w:p>
    <w:p w:rsidR="004F719D" w:rsidRPr="007322B7" w:rsidRDefault="004F719D" w:rsidP="004F719D">
      <w:pPr>
        <w:pStyle w:val="Prrafodelista"/>
        <w:rPr>
          <w:rFonts w:ascii="Palatino Linotype" w:hAnsi="Palatino Linotype" w:cs="Arial"/>
          <w:lang w:eastAsia="es-MX"/>
        </w:rPr>
      </w:pPr>
    </w:p>
    <w:p w:rsidR="004A6948" w:rsidRPr="007322B7" w:rsidRDefault="004A6948" w:rsidP="004A6948">
      <w:pPr>
        <w:pStyle w:val="Prrafodelista"/>
        <w:numPr>
          <w:ilvl w:val="0"/>
          <w:numId w:val="43"/>
        </w:numPr>
        <w:spacing w:line="360" w:lineRule="auto"/>
        <w:jc w:val="both"/>
        <w:rPr>
          <w:rFonts w:ascii="Palatino Linotype" w:hAnsi="Palatino Linotype" w:cs="Arial"/>
          <w:lang w:eastAsia="es-MX"/>
        </w:rPr>
      </w:pPr>
      <w:r w:rsidRPr="007322B7">
        <w:rPr>
          <w:rFonts w:ascii="Palatino Linotype" w:hAnsi="Palatino Linotype" w:cs="Arial"/>
          <w:lang w:eastAsia="es-MX"/>
        </w:rPr>
        <w:lastRenderedPageBreak/>
        <w:t>La existencia de un juicio o procedimiento administrativo materialmente jurisdiccional, que se encuentre en trámite, y</w:t>
      </w:r>
    </w:p>
    <w:p w:rsidR="004A6948" w:rsidRPr="007322B7" w:rsidRDefault="004A6948" w:rsidP="004A6948">
      <w:pPr>
        <w:pStyle w:val="Prrafodelista"/>
        <w:spacing w:line="360" w:lineRule="auto"/>
        <w:jc w:val="both"/>
        <w:rPr>
          <w:rFonts w:ascii="Palatino Linotype" w:hAnsi="Palatino Linotype" w:cs="Arial"/>
          <w:lang w:eastAsia="es-MX"/>
        </w:rPr>
      </w:pPr>
    </w:p>
    <w:p w:rsidR="004A6948" w:rsidRPr="007322B7" w:rsidRDefault="004A6948" w:rsidP="004A6948">
      <w:pPr>
        <w:pStyle w:val="Prrafodelista"/>
        <w:numPr>
          <w:ilvl w:val="0"/>
          <w:numId w:val="43"/>
        </w:numPr>
        <w:spacing w:line="360" w:lineRule="auto"/>
        <w:jc w:val="both"/>
        <w:rPr>
          <w:rFonts w:ascii="Palatino Linotype" w:hAnsi="Palatino Linotype" w:cs="Arial"/>
          <w:lang w:eastAsia="es-MX"/>
        </w:rPr>
      </w:pPr>
      <w:r w:rsidRPr="007322B7">
        <w:rPr>
          <w:rFonts w:ascii="Palatino Linotype" w:hAnsi="Palatino Linotype" w:cs="Arial"/>
          <w:lang w:eastAsia="es-MX"/>
        </w:rPr>
        <w:t>Que la información solicitada se refiera a actuaciones, diligencias o constancias propias de dicho procedimiento.</w:t>
      </w:r>
    </w:p>
    <w:p w:rsidR="004A6948" w:rsidRPr="007322B7" w:rsidRDefault="004A6948" w:rsidP="004A6948">
      <w:pPr>
        <w:pStyle w:val="Prrafodelista"/>
        <w:rPr>
          <w:rFonts w:ascii="Palatino Linotype" w:hAnsi="Palatino Linotype" w:cs="Arial"/>
          <w:lang w:eastAsia="es-MX"/>
        </w:rPr>
      </w:pPr>
    </w:p>
    <w:p w:rsidR="004A6948" w:rsidRPr="007322B7" w:rsidRDefault="004A6948" w:rsidP="004F719D">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sidRPr="007322B7">
        <w:rPr>
          <w:rFonts w:ascii="Palatino Linotype" w:hAnsi="Palatino Linotype" w:cs="Arial"/>
          <w:lang w:eastAsia="es-MX"/>
        </w:rPr>
        <w:t>Por lo que la información susceptible de clasificarse como reserva, es aquella cuya difusión vulnere la conducción de los expedientes judiciales o procedimientos administrativos seguidos en forma de juicio, en tanto no hayan causado estado y que se refiera a actuaciones, diligencias o constancias propias de dicho procedimiento.</w:t>
      </w:r>
    </w:p>
    <w:p w:rsidR="004A6948" w:rsidRPr="007322B7" w:rsidRDefault="004A6948" w:rsidP="004A694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lang w:eastAsia="es-MX"/>
        </w:rPr>
      </w:pPr>
    </w:p>
    <w:p w:rsidR="00170FB4" w:rsidRPr="007322B7" w:rsidRDefault="004A6948" w:rsidP="004F719D">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sidRPr="007322B7">
        <w:rPr>
          <w:rFonts w:ascii="Palatino Linotype" w:hAnsi="Palatino Linotype" w:cs="Arial"/>
          <w:lang w:eastAsia="es-MX"/>
        </w:rPr>
        <w:t xml:space="preserve">Por lo que en el presente casi, para acreditar la reserva referida, </w:t>
      </w:r>
      <w:r w:rsidRPr="007322B7">
        <w:rPr>
          <w:rFonts w:ascii="Palatino Linotype" w:hAnsi="Palatino Linotype" w:cs="Arial"/>
          <w:b/>
          <w:lang w:eastAsia="es-MX"/>
        </w:rPr>
        <w:t>y de acuerdo a lo acotado por el Órgano Garante Nacional a este Instituto</w:t>
      </w:r>
      <w:r w:rsidR="008B50DE" w:rsidRPr="007322B7">
        <w:rPr>
          <w:rFonts w:ascii="Palatino Linotype" w:hAnsi="Palatino Linotype" w:cs="Arial"/>
          <w:b/>
          <w:lang w:eastAsia="es-MX"/>
        </w:rPr>
        <w:t>, es necesario que se actualicen los siguientes requisitos</w:t>
      </w:r>
      <w:r w:rsidR="008B50DE" w:rsidRPr="007322B7">
        <w:rPr>
          <w:rFonts w:ascii="Palatino Linotype" w:hAnsi="Palatino Linotype" w:cs="Arial"/>
          <w:lang w:eastAsia="es-MX"/>
        </w:rPr>
        <w:t>:</w:t>
      </w:r>
    </w:p>
    <w:p w:rsidR="004F719D" w:rsidRPr="007322B7" w:rsidRDefault="004F719D" w:rsidP="004F719D">
      <w:pPr>
        <w:pStyle w:val="Prrafodelista"/>
        <w:rPr>
          <w:rFonts w:ascii="Palatino Linotype" w:hAnsi="Palatino Linotype" w:cs="Arial"/>
          <w:lang w:eastAsia="es-MX"/>
        </w:rPr>
      </w:pPr>
    </w:p>
    <w:p w:rsidR="008B50DE" w:rsidRPr="007322B7" w:rsidRDefault="008B50DE" w:rsidP="008B50DE">
      <w:pPr>
        <w:pStyle w:val="Prrafodelista"/>
        <w:numPr>
          <w:ilvl w:val="0"/>
          <w:numId w:val="44"/>
        </w:numPr>
        <w:spacing w:line="360" w:lineRule="auto"/>
        <w:ind w:left="993"/>
        <w:jc w:val="both"/>
        <w:rPr>
          <w:rFonts w:ascii="Palatino Linotype" w:hAnsi="Palatino Linotype" w:cs="Arial"/>
          <w:b/>
          <w:lang w:eastAsia="es-MX"/>
        </w:rPr>
      </w:pPr>
      <w:r w:rsidRPr="007322B7">
        <w:rPr>
          <w:rFonts w:ascii="Palatino Linotype" w:hAnsi="Palatino Linotype" w:cs="Arial"/>
          <w:b/>
          <w:lang w:eastAsia="es-MX"/>
        </w:rPr>
        <w:t>La existencia de un juicio o procedimiento administrativo materialmente jurisdiccional</w:t>
      </w:r>
    </w:p>
    <w:p w:rsidR="008B50DE" w:rsidRPr="007322B7" w:rsidRDefault="008B50DE" w:rsidP="008B50DE">
      <w:pPr>
        <w:pStyle w:val="Prrafodelista"/>
        <w:spacing w:line="360" w:lineRule="auto"/>
        <w:ind w:left="993"/>
        <w:jc w:val="both"/>
        <w:rPr>
          <w:rFonts w:ascii="Palatino Linotype" w:hAnsi="Palatino Linotype" w:cs="Arial"/>
          <w:b/>
          <w:lang w:eastAsia="es-MX"/>
        </w:rPr>
      </w:pPr>
    </w:p>
    <w:p w:rsidR="008B50DE" w:rsidRPr="007322B7" w:rsidRDefault="008B50DE" w:rsidP="008B50DE">
      <w:pPr>
        <w:pStyle w:val="Prrafodelista"/>
        <w:numPr>
          <w:ilvl w:val="0"/>
          <w:numId w:val="44"/>
        </w:numPr>
        <w:spacing w:line="360" w:lineRule="auto"/>
        <w:ind w:left="993"/>
        <w:jc w:val="both"/>
        <w:rPr>
          <w:rFonts w:ascii="Palatino Linotype" w:hAnsi="Palatino Linotype" w:cs="Arial"/>
          <w:b/>
          <w:lang w:eastAsia="es-MX"/>
        </w:rPr>
      </w:pPr>
      <w:r w:rsidRPr="007322B7">
        <w:rPr>
          <w:rFonts w:ascii="Palatino Linotype" w:hAnsi="Palatino Linotype" w:cs="Arial"/>
          <w:b/>
          <w:lang w:eastAsia="es-MX"/>
        </w:rPr>
        <w:t>Que el juicio se encuentre en trámite, es decir, que no haya causado estado.</w:t>
      </w:r>
    </w:p>
    <w:p w:rsidR="008B50DE" w:rsidRPr="007322B7" w:rsidRDefault="008B50DE" w:rsidP="008B50DE">
      <w:pPr>
        <w:pStyle w:val="Prrafodelista"/>
        <w:spacing w:line="360" w:lineRule="auto"/>
        <w:ind w:left="993"/>
        <w:jc w:val="both"/>
        <w:rPr>
          <w:rFonts w:ascii="Palatino Linotype" w:hAnsi="Palatino Linotype" w:cs="Arial"/>
          <w:b/>
          <w:lang w:eastAsia="es-MX"/>
        </w:rPr>
      </w:pPr>
    </w:p>
    <w:p w:rsidR="008B50DE" w:rsidRPr="007322B7" w:rsidRDefault="008B50DE" w:rsidP="008B50DE">
      <w:pPr>
        <w:pStyle w:val="Prrafodelista"/>
        <w:numPr>
          <w:ilvl w:val="0"/>
          <w:numId w:val="44"/>
        </w:numPr>
        <w:spacing w:line="360" w:lineRule="auto"/>
        <w:ind w:left="993"/>
        <w:jc w:val="both"/>
        <w:rPr>
          <w:rFonts w:ascii="Palatino Linotype" w:hAnsi="Palatino Linotype" w:cs="Arial"/>
          <w:b/>
          <w:lang w:eastAsia="es-MX"/>
        </w:rPr>
      </w:pPr>
      <w:r w:rsidRPr="007322B7">
        <w:rPr>
          <w:rFonts w:ascii="Palatino Linotype" w:hAnsi="Palatino Linotype" w:cs="Arial"/>
          <w:b/>
          <w:lang w:eastAsia="es-MX"/>
        </w:rPr>
        <w:lastRenderedPageBreak/>
        <w:t>El vínculo entre la información solicitada y el procedimiento judicial de que se trate.</w:t>
      </w:r>
    </w:p>
    <w:p w:rsidR="008B50DE" w:rsidRPr="007322B7" w:rsidRDefault="008B50DE" w:rsidP="008B50DE">
      <w:pPr>
        <w:pStyle w:val="Prrafodelista"/>
        <w:spacing w:line="360" w:lineRule="auto"/>
        <w:ind w:left="993"/>
        <w:jc w:val="both"/>
        <w:rPr>
          <w:rFonts w:ascii="Palatino Linotype" w:hAnsi="Palatino Linotype" w:cs="Arial"/>
          <w:b/>
          <w:lang w:eastAsia="es-MX"/>
        </w:rPr>
      </w:pPr>
    </w:p>
    <w:p w:rsidR="008B50DE" w:rsidRPr="007322B7" w:rsidRDefault="008B50DE" w:rsidP="008B50DE">
      <w:pPr>
        <w:pStyle w:val="Prrafodelista"/>
        <w:numPr>
          <w:ilvl w:val="0"/>
          <w:numId w:val="44"/>
        </w:numPr>
        <w:spacing w:line="360" w:lineRule="auto"/>
        <w:ind w:left="993"/>
        <w:jc w:val="both"/>
        <w:rPr>
          <w:rFonts w:ascii="Palatino Linotype" w:hAnsi="Palatino Linotype" w:cs="Arial"/>
          <w:b/>
          <w:lang w:eastAsia="es-MX"/>
        </w:rPr>
      </w:pPr>
      <w:r w:rsidRPr="007322B7">
        <w:rPr>
          <w:rFonts w:ascii="Palatino Linotype" w:hAnsi="Palatino Linotype" w:cs="Arial"/>
          <w:b/>
          <w:lang w:eastAsia="es-MX"/>
        </w:rPr>
        <w:t>Que la difusión de la información pueda causar un daño y/o perjuicio a las atribuciones del Tribunal durante el juicio; es decir, que el contenido de la información vulnere, impida u obstruya los procedimientos que se ventilan.</w:t>
      </w:r>
    </w:p>
    <w:p w:rsidR="008B50DE" w:rsidRPr="007322B7" w:rsidRDefault="008B50DE" w:rsidP="004F719D">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sidRPr="007322B7">
        <w:rPr>
          <w:rFonts w:ascii="Palatino Linotype" w:hAnsi="Palatino Linotype" w:cs="Arial"/>
          <w:lang w:eastAsia="es-MX"/>
        </w:rPr>
        <w:t>Requisitos que deben ser analizados, cada uno, con la finalidad de determinar si se configura la hipótesis de reserva que tengan a bien invocar los sujetos obligados. Hecho, que en el presente caso, evidentemente no ocurrió, por lo que en el recurso de revisión que nos ocupa, este Instituto entonces dejo de dar observancia a lo que el Órgano Nacional ya le ha establecido de manera puntual y por tanto quien suscribe no puede acompañar la resolución en los términos planteados.</w:t>
      </w:r>
    </w:p>
    <w:p w:rsidR="008B50DE" w:rsidRPr="007322B7" w:rsidRDefault="008B50DE" w:rsidP="008B50D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lang w:eastAsia="es-MX"/>
        </w:rPr>
      </w:pPr>
    </w:p>
    <w:p w:rsidR="004A6948" w:rsidRPr="007322B7" w:rsidRDefault="008B50DE" w:rsidP="004F719D">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lang w:eastAsia="es-MX"/>
        </w:rPr>
      </w:pPr>
      <w:r w:rsidRPr="007322B7">
        <w:rPr>
          <w:rFonts w:ascii="Palatino Linotype" w:hAnsi="Palatino Linotype" w:cs="Arial"/>
          <w:lang w:eastAsia="es-MX"/>
        </w:rPr>
        <w:t xml:space="preserve">Por otro lado, la hoy recurrente, señalo </w:t>
      </w:r>
      <w:r w:rsidR="004F719D" w:rsidRPr="007322B7">
        <w:rPr>
          <w:rFonts w:ascii="Palatino Linotype" w:hAnsi="Palatino Linotype" w:cs="Arial"/>
          <w:lang w:eastAsia="es-MX"/>
        </w:rPr>
        <w:t xml:space="preserve">expresamente </w:t>
      </w:r>
      <w:r w:rsidRPr="007322B7">
        <w:rPr>
          <w:rFonts w:ascii="Palatino Linotype" w:hAnsi="Palatino Linotype" w:cs="Arial"/>
          <w:lang w:eastAsia="es-MX"/>
        </w:rPr>
        <w:t>que el expediente al que desea tener acceso se encuentra</w:t>
      </w:r>
      <w:r w:rsidR="004F719D" w:rsidRPr="007322B7">
        <w:rPr>
          <w:rFonts w:ascii="Palatino Linotype" w:hAnsi="Palatino Linotype" w:cs="Arial"/>
          <w:lang w:eastAsia="es-MX"/>
        </w:rPr>
        <w:t xml:space="preserve"> concluido, por lo que de ser el caso se debió ordenar la búsqueda exhaustiva y razonable a efecto de que el Sujeto Obligado y hacer entrega de la información con la elaboración de la respectiva versión pública, y de insistir el Poder Judicial que ello no es así, entonces ordenar el acuerdo de reserva con todas las formalidades de Ley y no uno de manera general como el entregado en la respuesta a la solicitud de información.</w:t>
      </w:r>
    </w:p>
    <w:p w:rsidR="00FF4B33" w:rsidRPr="007322B7" w:rsidRDefault="00FF4B33" w:rsidP="004F719D">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7322B7">
        <w:rPr>
          <w:rFonts w:ascii="Palatino Linotype" w:hAnsi="Palatino Linotype" w:cs="Arial"/>
        </w:rPr>
        <w:lastRenderedPageBreak/>
        <w:t xml:space="preserve">En razón a las consideraciones antes señaladas es que no puedo compartir el sentido de la resolución adoptada </w:t>
      </w:r>
      <w:r w:rsidR="00ED2F56" w:rsidRPr="007322B7">
        <w:rPr>
          <w:rFonts w:ascii="Palatino Linotype" w:hAnsi="Palatino Linotype" w:cs="Arial"/>
        </w:rPr>
        <w:t>para</w:t>
      </w:r>
      <w:r w:rsidRPr="007322B7">
        <w:rPr>
          <w:rFonts w:ascii="Palatino Linotype" w:hAnsi="Palatino Linotype" w:cs="Arial"/>
        </w:rPr>
        <w:t xml:space="preserve"> </w:t>
      </w:r>
      <w:r w:rsidR="004F719D" w:rsidRPr="007322B7">
        <w:rPr>
          <w:rFonts w:ascii="Palatino Linotype" w:hAnsi="Palatino Linotype" w:cs="Arial"/>
        </w:rPr>
        <w:t>confirmar</w:t>
      </w:r>
      <w:r w:rsidR="00ED2F56" w:rsidRPr="007322B7">
        <w:rPr>
          <w:rFonts w:ascii="Palatino Linotype" w:hAnsi="Palatino Linotype" w:cs="Arial"/>
        </w:rPr>
        <w:t xml:space="preserve"> la respuesta del Sujeto Obligado</w:t>
      </w:r>
      <w:r w:rsidRPr="007322B7">
        <w:rPr>
          <w:rFonts w:ascii="Palatino Linotype" w:hAnsi="Palatino Linotype" w:cs="Arial"/>
        </w:rPr>
        <w:t>, motivando el presente</w:t>
      </w:r>
      <w:r w:rsidR="008517AF" w:rsidRPr="007322B7">
        <w:rPr>
          <w:rFonts w:ascii="Palatino Linotype" w:hAnsi="Palatino Linotype" w:cs="Arial"/>
        </w:rPr>
        <w:t xml:space="preserve"> voto disidente.</w:t>
      </w:r>
    </w:p>
    <w:p w:rsidR="000D714D" w:rsidRPr="007322B7" w:rsidRDefault="000D714D" w:rsidP="006E2911">
      <w:pPr>
        <w:pStyle w:val="Prrafodelista"/>
        <w:rPr>
          <w:rFonts w:ascii="Palatino Linotype" w:hAnsi="Palatino Linotype" w:cs="Arial"/>
        </w:rPr>
      </w:pPr>
    </w:p>
    <w:p w:rsidR="000D714D" w:rsidRPr="007322B7" w:rsidRDefault="000D714D" w:rsidP="004F719D">
      <w:pPr>
        <w:pStyle w:val="Prrafodelist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ascii="Palatino Linotype" w:hAnsi="Palatino Linotype" w:cs="Arial"/>
        </w:rPr>
      </w:pPr>
      <w:r w:rsidRPr="007322B7">
        <w:rPr>
          <w:rFonts w:ascii="Palatino Linotype" w:hAnsi="Palatino Linotype" w:cs="Arial"/>
        </w:rPr>
        <w:t xml:space="preserve">Este Órgano Garante debe revisar en forma minuciosa en todos los casos, si se </w:t>
      </w:r>
      <w:r w:rsidR="00D0774E" w:rsidRPr="007322B7">
        <w:rPr>
          <w:rFonts w:ascii="Palatino Linotype" w:hAnsi="Palatino Linotype" w:cs="Arial"/>
        </w:rPr>
        <w:t>posee todo o parte de la información que requieren los particulares y verificar si se entrega</w:t>
      </w:r>
      <w:r w:rsidRPr="007322B7">
        <w:rPr>
          <w:rFonts w:ascii="Palatino Linotype" w:hAnsi="Palatino Linotype" w:cs="Arial"/>
        </w:rPr>
        <w:t xml:space="preserve"> a los peticionarios todos y cada uno de los puntos que fueron solicitados, </w:t>
      </w:r>
      <w:r w:rsidR="00A31B0C" w:rsidRPr="007322B7">
        <w:rPr>
          <w:rFonts w:ascii="Palatino Linotype" w:hAnsi="Palatino Linotype" w:cs="Arial"/>
        </w:rPr>
        <w:t>y dejar a cabalidad</w:t>
      </w:r>
      <w:r w:rsidRPr="007322B7">
        <w:rPr>
          <w:rFonts w:ascii="Palatino Linotype" w:hAnsi="Palatino Linotype" w:cs="Arial"/>
        </w:rPr>
        <w:t xml:space="preserve"> satisfecho el Derecho de Acceder a la Infor</w:t>
      </w:r>
      <w:r w:rsidR="00A31B0C" w:rsidRPr="007322B7">
        <w:rPr>
          <w:rFonts w:ascii="Palatino Linotype" w:hAnsi="Palatino Linotype" w:cs="Arial"/>
        </w:rPr>
        <w:t>mación Pública y garantizar</w:t>
      </w:r>
      <w:r w:rsidRPr="007322B7">
        <w:rPr>
          <w:rFonts w:ascii="Palatino Linotype" w:hAnsi="Palatino Linotype" w:cs="Arial"/>
        </w:rPr>
        <w:t xml:space="preserve"> el derecho fundamental.</w:t>
      </w:r>
      <w:r w:rsidR="004F719D" w:rsidRPr="007322B7">
        <w:rPr>
          <w:rFonts w:ascii="Palatino Linotype" w:hAnsi="Palatino Linotype" w:cs="Arial"/>
        </w:rPr>
        <w:t xml:space="preserve"> Más aún cuando existen precedentes que ya le han sido puntualmente establecidos a este Órgano Garante local por parte del Instituto Nacional de Transparencia, Acceso a la Información y Protección de Datos Personales, y de los cuales se está dejando de dar observancia.</w:t>
      </w:r>
    </w:p>
    <w:p w:rsidR="00BE1AF8" w:rsidRDefault="00BE1AF8"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7322B7" w:rsidRDefault="007322B7"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7322B7" w:rsidRDefault="007322B7"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7322B7" w:rsidRPr="007322B7" w:rsidRDefault="007322B7"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BE1AF8" w:rsidRPr="007322B7" w:rsidRDefault="00BE1AF8" w:rsidP="007322B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alatino Linotype" w:hAnsi="Palatino Linotype" w:cs="Arial"/>
        </w:rPr>
      </w:pPr>
    </w:p>
    <w:p w:rsidR="00BE1AF8" w:rsidRPr="007322B7" w:rsidRDefault="00BE1AF8" w:rsidP="007322B7">
      <w:pPr>
        <w:jc w:val="center"/>
        <w:rPr>
          <w:rFonts w:ascii="Palatino Linotype" w:eastAsia="Arial" w:hAnsi="Palatino Linotype" w:cs="Arial"/>
          <w:b/>
          <w:color w:val="000000"/>
          <w:bdr w:val="none" w:sz="0" w:space="0" w:color="auto"/>
          <w:lang w:eastAsia="es-MX"/>
        </w:rPr>
      </w:pPr>
      <w:r w:rsidRPr="007322B7">
        <w:rPr>
          <w:rFonts w:ascii="Palatino Linotype" w:eastAsia="Arial" w:hAnsi="Palatino Linotype" w:cs="Arial"/>
          <w:b/>
          <w:color w:val="000000"/>
          <w:lang w:eastAsia="es-MX"/>
        </w:rPr>
        <w:t>JOSÉ GUADALUPE LUNA HERNÁNDEZ</w:t>
      </w:r>
    </w:p>
    <w:p w:rsidR="00BE1AF8" w:rsidRPr="007322B7" w:rsidRDefault="00BE1AF8" w:rsidP="007322B7">
      <w:pPr>
        <w:jc w:val="center"/>
        <w:rPr>
          <w:rFonts w:ascii="Palatino Linotype" w:eastAsia="Arial" w:hAnsi="Palatino Linotype" w:cs="Arial"/>
          <w:b/>
          <w:color w:val="000000"/>
          <w:lang w:eastAsia="es-MX"/>
        </w:rPr>
      </w:pPr>
      <w:r w:rsidRPr="007322B7">
        <w:rPr>
          <w:rFonts w:ascii="Palatino Linotype" w:eastAsia="Arial" w:hAnsi="Palatino Linotype" w:cs="Arial"/>
          <w:b/>
          <w:color w:val="000000"/>
          <w:lang w:eastAsia="es-MX"/>
        </w:rPr>
        <w:t>COMISIONADO</w:t>
      </w:r>
    </w:p>
    <w:p w:rsidR="00BE1AF8" w:rsidRDefault="004F719D" w:rsidP="007322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Linotype" w:hAnsi="Palatino Linotype" w:cs="Arial"/>
          <w:b/>
        </w:rPr>
      </w:pPr>
      <w:r w:rsidRPr="007322B7">
        <w:rPr>
          <w:rFonts w:ascii="Palatino Linotype" w:hAnsi="Palatino Linotype" w:cs="Arial"/>
          <w:b/>
        </w:rPr>
        <w:t>(RÚBRICA)</w:t>
      </w:r>
    </w:p>
    <w:p w:rsidR="007322B7" w:rsidRDefault="007322B7" w:rsidP="007322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Linotype" w:hAnsi="Palatino Linotype" w:cs="Arial"/>
          <w:b/>
        </w:rPr>
      </w:pPr>
    </w:p>
    <w:p w:rsidR="007322B7" w:rsidRDefault="007322B7" w:rsidP="007322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Palatino Linotype" w:hAnsi="Palatino Linotype" w:cs="Arial"/>
          <w:b/>
        </w:rPr>
      </w:pPr>
    </w:p>
    <w:p w:rsidR="007322B7" w:rsidRPr="004F719D" w:rsidRDefault="007322B7" w:rsidP="007322B7">
      <w:p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cs="Arial"/>
          <w:b/>
        </w:rPr>
      </w:pPr>
      <w:r>
        <w:rPr>
          <w:rFonts w:ascii="Palatino Linotype" w:hAnsi="Palatino Linotype" w:cs="Arial"/>
          <w:b/>
        </w:rPr>
        <w:t>JGLH/MULR</w:t>
      </w:r>
    </w:p>
    <w:sectPr w:rsidR="007322B7" w:rsidRPr="004F719D"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8EC" w:rsidRDefault="00BF68EC" w:rsidP="00ED7332">
      <w:r>
        <w:separator/>
      </w:r>
    </w:p>
  </w:endnote>
  <w:endnote w:type="continuationSeparator" w:id="0">
    <w:p w:rsidR="00BF68EC" w:rsidRDefault="00BF68EC"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2117B">
              <w:rPr>
                <w:rFonts w:ascii="Palatino Linotype" w:hAnsi="Palatino Linotype"/>
                <w:b/>
                <w:bCs/>
                <w:noProof/>
                <w:sz w:val="20"/>
                <w:szCs w:val="20"/>
              </w:rPr>
              <w:t>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2117B">
              <w:rPr>
                <w:rFonts w:ascii="Palatino Linotype" w:hAnsi="Palatino Linotype"/>
                <w:b/>
                <w:bCs/>
                <w:noProof/>
                <w:sz w:val="20"/>
                <w:szCs w:val="20"/>
              </w:rPr>
              <w:t>9</w:t>
            </w:r>
            <w:r w:rsidRPr="0052203D">
              <w:rPr>
                <w:rFonts w:ascii="Palatino Linotype" w:hAnsi="Palatino Linotype"/>
                <w:b/>
                <w:bCs/>
                <w:sz w:val="20"/>
                <w:szCs w:val="20"/>
              </w:rPr>
              <w:fldChar w:fldCharType="end"/>
            </w:r>
          </w:p>
        </w:sdtContent>
      </w:sdt>
    </w:sdtContent>
  </w:sdt>
  <w:p w:rsidR="00951E8B" w:rsidRDefault="006211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8EC" w:rsidRDefault="00BF68EC" w:rsidP="00ED7332">
      <w:r>
        <w:separator/>
      </w:r>
    </w:p>
  </w:footnote>
  <w:footnote w:type="continuationSeparator" w:id="0">
    <w:p w:rsidR="00BF68EC" w:rsidRDefault="00BF68EC"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2117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2117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2117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4">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7">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nsid w:val="4E641F14"/>
    <w:multiLevelType w:val="hybridMultilevel"/>
    <w:tmpl w:val="929E26A8"/>
    <w:lvl w:ilvl="0" w:tplc="87D8E508">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7202FA"/>
    <w:multiLevelType w:val="hybridMultilevel"/>
    <w:tmpl w:val="7A3E2C98"/>
    <w:lvl w:ilvl="0" w:tplc="2F484048">
      <w:start w:val="1"/>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7">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4">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8"/>
  </w:num>
  <w:num w:numId="3">
    <w:abstractNumId w:val="37"/>
  </w:num>
  <w:num w:numId="4">
    <w:abstractNumId w:val="6"/>
  </w:num>
  <w:num w:numId="5">
    <w:abstractNumId w:val="13"/>
  </w:num>
  <w:num w:numId="6">
    <w:abstractNumId w:val="3"/>
  </w:num>
  <w:num w:numId="7">
    <w:abstractNumId w:val="23"/>
  </w:num>
  <w:num w:numId="8">
    <w:abstractNumId w:val="40"/>
  </w:num>
  <w:num w:numId="9">
    <w:abstractNumId w:val="17"/>
  </w:num>
  <w:num w:numId="10">
    <w:abstractNumId w:val="2"/>
  </w:num>
  <w:num w:numId="11">
    <w:abstractNumId w:val="0"/>
  </w:num>
  <w:num w:numId="12">
    <w:abstractNumId w:val="22"/>
  </w:num>
  <w:num w:numId="13">
    <w:abstractNumId w:val="5"/>
  </w:num>
  <w:num w:numId="14">
    <w:abstractNumId w:val="35"/>
  </w:num>
  <w:num w:numId="15">
    <w:abstractNumId w:val="34"/>
  </w:num>
  <w:num w:numId="16">
    <w:abstractNumId w:val="19"/>
  </w:num>
  <w:num w:numId="17">
    <w:abstractNumId w:val="10"/>
  </w:num>
  <w:num w:numId="18">
    <w:abstractNumId w:val="7"/>
  </w:num>
  <w:num w:numId="19">
    <w:abstractNumId w:val="36"/>
  </w:num>
  <w:num w:numId="20">
    <w:abstractNumId w:val="16"/>
  </w:num>
  <w:num w:numId="21">
    <w:abstractNumId w:val="38"/>
  </w:num>
  <w:num w:numId="22">
    <w:abstractNumId w:val="12"/>
  </w:num>
  <w:num w:numId="23">
    <w:abstractNumId w:val="14"/>
  </w:num>
  <w:num w:numId="24">
    <w:abstractNumId w:val="27"/>
  </w:num>
  <w:num w:numId="25">
    <w:abstractNumId w:val="18"/>
  </w:num>
  <w:num w:numId="26">
    <w:abstractNumId w:val="4"/>
  </w:num>
  <w:num w:numId="27">
    <w:abstractNumId w:val="9"/>
  </w:num>
  <w:num w:numId="28">
    <w:abstractNumId w:val="26"/>
  </w:num>
  <w:num w:numId="29">
    <w:abstractNumId w:val="11"/>
  </w:num>
  <w:num w:numId="30">
    <w:abstractNumId w:val="32"/>
  </w:num>
  <w:num w:numId="31">
    <w:abstractNumId w:val="25"/>
  </w:num>
  <w:num w:numId="32">
    <w:abstractNumId w:val="3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0"/>
  </w:num>
  <w:num w:numId="36">
    <w:abstractNumId w:val="28"/>
  </w:num>
  <w:num w:numId="37">
    <w:abstractNumId w:val="20"/>
  </w:num>
  <w:num w:numId="38">
    <w:abstractNumId w:val="29"/>
  </w:num>
  <w:num w:numId="39">
    <w:abstractNumId w:val="21"/>
  </w:num>
  <w:num w:numId="40">
    <w:abstractNumId w:val="31"/>
  </w:num>
  <w:num w:numId="41">
    <w:abstractNumId w:val="39"/>
  </w:num>
  <w:num w:numId="42">
    <w:abstractNumId w:val="20"/>
    <w:lvlOverride w:ilvl="0">
      <w:startOverride w:val="4"/>
    </w:lvlOverride>
  </w:num>
  <w:num w:numId="43">
    <w:abstractNumId w:val="1"/>
  </w:num>
  <w:num w:numId="44">
    <w:abstractNumId w:val="30"/>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50F9"/>
    <w:rsid w:val="00045EDE"/>
    <w:rsid w:val="00074B24"/>
    <w:rsid w:val="00075028"/>
    <w:rsid w:val="0009296B"/>
    <w:rsid w:val="000963B3"/>
    <w:rsid w:val="00097AD7"/>
    <w:rsid w:val="000B0E25"/>
    <w:rsid w:val="000D714D"/>
    <w:rsid w:val="000E7EE8"/>
    <w:rsid w:val="000F1159"/>
    <w:rsid w:val="000F2AC8"/>
    <w:rsid w:val="00103510"/>
    <w:rsid w:val="00115126"/>
    <w:rsid w:val="0015416E"/>
    <w:rsid w:val="0016141F"/>
    <w:rsid w:val="00161D60"/>
    <w:rsid w:val="00170FB4"/>
    <w:rsid w:val="00173575"/>
    <w:rsid w:val="00187C5A"/>
    <w:rsid w:val="001A2F06"/>
    <w:rsid w:val="001C6C91"/>
    <w:rsid w:val="001E2E42"/>
    <w:rsid w:val="001E2F7E"/>
    <w:rsid w:val="001F0577"/>
    <w:rsid w:val="00203272"/>
    <w:rsid w:val="002252EC"/>
    <w:rsid w:val="00230BB9"/>
    <w:rsid w:val="002528A4"/>
    <w:rsid w:val="00253251"/>
    <w:rsid w:val="00255331"/>
    <w:rsid w:val="0026502D"/>
    <w:rsid w:val="00266515"/>
    <w:rsid w:val="00274977"/>
    <w:rsid w:val="002813E1"/>
    <w:rsid w:val="00290D96"/>
    <w:rsid w:val="002A3A54"/>
    <w:rsid w:val="002D1347"/>
    <w:rsid w:val="002E4EAD"/>
    <w:rsid w:val="002F0112"/>
    <w:rsid w:val="003061F2"/>
    <w:rsid w:val="00313DBF"/>
    <w:rsid w:val="003331EE"/>
    <w:rsid w:val="00343467"/>
    <w:rsid w:val="003503B0"/>
    <w:rsid w:val="00364D1A"/>
    <w:rsid w:val="00364E7F"/>
    <w:rsid w:val="003672A4"/>
    <w:rsid w:val="003765B0"/>
    <w:rsid w:val="0038405F"/>
    <w:rsid w:val="003A43CE"/>
    <w:rsid w:val="003A68B3"/>
    <w:rsid w:val="003C68B6"/>
    <w:rsid w:val="003D1215"/>
    <w:rsid w:val="003D513F"/>
    <w:rsid w:val="003F71B7"/>
    <w:rsid w:val="00421FE8"/>
    <w:rsid w:val="004252DB"/>
    <w:rsid w:val="00430106"/>
    <w:rsid w:val="0044710A"/>
    <w:rsid w:val="00482790"/>
    <w:rsid w:val="004915D5"/>
    <w:rsid w:val="004A6948"/>
    <w:rsid w:val="004A75D5"/>
    <w:rsid w:val="004C4360"/>
    <w:rsid w:val="004D1629"/>
    <w:rsid w:val="004F719D"/>
    <w:rsid w:val="0050137A"/>
    <w:rsid w:val="00503141"/>
    <w:rsid w:val="0052203D"/>
    <w:rsid w:val="00557948"/>
    <w:rsid w:val="00577A92"/>
    <w:rsid w:val="00586E51"/>
    <w:rsid w:val="005A09A1"/>
    <w:rsid w:val="005A55B8"/>
    <w:rsid w:val="005E6E1A"/>
    <w:rsid w:val="00614828"/>
    <w:rsid w:val="0062117B"/>
    <w:rsid w:val="00630699"/>
    <w:rsid w:val="00633DCF"/>
    <w:rsid w:val="00635965"/>
    <w:rsid w:val="0063753D"/>
    <w:rsid w:val="006409B3"/>
    <w:rsid w:val="00642F7C"/>
    <w:rsid w:val="00644DC3"/>
    <w:rsid w:val="006500A4"/>
    <w:rsid w:val="00651B65"/>
    <w:rsid w:val="00696E58"/>
    <w:rsid w:val="006E2911"/>
    <w:rsid w:val="00711276"/>
    <w:rsid w:val="007226CE"/>
    <w:rsid w:val="007322B7"/>
    <w:rsid w:val="007455F7"/>
    <w:rsid w:val="007631ED"/>
    <w:rsid w:val="00763471"/>
    <w:rsid w:val="00774A7F"/>
    <w:rsid w:val="0077794D"/>
    <w:rsid w:val="007A4E77"/>
    <w:rsid w:val="007A6A25"/>
    <w:rsid w:val="007A76AC"/>
    <w:rsid w:val="007B194A"/>
    <w:rsid w:val="007B1C16"/>
    <w:rsid w:val="007B70C2"/>
    <w:rsid w:val="007C25E8"/>
    <w:rsid w:val="007F5BB2"/>
    <w:rsid w:val="00835B3B"/>
    <w:rsid w:val="008517AF"/>
    <w:rsid w:val="00864D58"/>
    <w:rsid w:val="00876E43"/>
    <w:rsid w:val="00880EB4"/>
    <w:rsid w:val="00894FAC"/>
    <w:rsid w:val="008A78F1"/>
    <w:rsid w:val="008B29B7"/>
    <w:rsid w:val="008B2AC8"/>
    <w:rsid w:val="008B50DE"/>
    <w:rsid w:val="008B70FB"/>
    <w:rsid w:val="008B7317"/>
    <w:rsid w:val="008B7D1A"/>
    <w:rsid w:val="008C3561"/>
    <w:rsid w:val="008F1F4E"/>
    <w:rsid w:val="008F3587"/>
    <w:rsid w:val="0090198C"/>
    <w:rsid w:val="009332A7"/>
    <w:rsid w:val="00940BE8"/>
    <w:rsid w:val="00941946"/>
    <w:rsid w:val="00952EB7"/>
    <w:rsid w:val="00962AB3"/>
    <w:rsid w:val="0097464F"/>
    <w:rsid w:val="0099042C"/>
    <w:rsid w:val="009D5E66"/>
    <w:rsid w:val="009E3209"/>
    <w:rsid w:val="009E7D34"/>
    <w:rsid w:val="00A31B0C"/>
    <w:rsid w:val="00A3395D"/>
    <w:rsid w:val="00A36FB9"/>
    <w:rsid w:val="00A410B3"/>
    <w:rsid w:val="00A527F0"/>
    <w:rsid w:val="00A94904"/>
    <w:rsid w:val="00AE112C"/>
    <w:rsid w:val="00AE1FD6"/>
    <w:rsid w:val="00B06084"/>
    <w:rsid w:val="00B079D3"/>
    <w:rsid w:val="00B305DB"/>
    <w:rsid w:val="00B35501"/>
    <w:rsid w:val="00B64221"/>
    <w:rsid w:val="00B82DF9"/>
    <w:rsid w:val="00B847C6"/>
    <w:rsid w:val="00BA7541"/>
    <w:rsid w:val="00BC23A5"/>
    <w:rsid w:val="00BD7E40"/>
    <w:rsid w:val="00BE1AF8"/>
    <w:rsid w:val="00BF68EC"/>
    <w:rsid w:val="00C04ABD"/>
    <w:rsid w:val="00C36B1F"/>
    <w:rsid w:val="00C37D34"/>
    <w:rsid w:val="00C50FC5"/>
    <w:rsid w:val="00C648C5"/>
    <w:rsid w:val="00C64CFF"/>
    <w:rsid w:val="00C7087D"/>
    <w:rsid w:val="00C74DDE"/>
    <w:rsid w:val="00C8234C"/>
    <w:rsid w:val="00C87E9E"/>
    <w:rsid w:val="00C96160"/>
    <w:rsid w:val="00CA5AFE"/>
    <w:rsid w:val="00CB13A7"/>
    <w:rsid w:val="00CB19F7"/>
    <w:rsid w:val="00CB3643"/>
    <w:rsid w:val="00CD3F2D"/>
    <w:rsid w:val="00CE058D"/>
    <w:rsid w:val="00CF16BC"/>
    <w:rsid w:val="00D075E8"/>
    <w:rsid w:val="00D0774E"/>
    <w:rsid w:val="00D212CB"/>
    <w:rsid w:val="00D349C5"/>
    <w:rsid w:val="00D37C48"/>
    <w:rsid w:val="00D420C4"/>
    <w:rsid w:val="00D570BC"/>
    <w:rsid w:val="00D74377"/>
    <w:rsid w:val="00D976D8"/>
    <w:rsid w:val="00DB5AF7"/>
    <w:rsid w:val="00DC3D1C"/>
    <w:rsid w:val="00DC613F"/>
    <w:rsid w:val="00DE28AC"/>
    <w:rsid w:val="00DE7C9B"/>
    <w:rsid w:val="00DE7DF6"/>
    <w:rsid w:val="00E043DE"/>
    <w:rsid w:val="00E06C70"/>
    <w:rsid w:val="00E12C1D"/>
    <w:rsid w:val="00E25072"/>
    <w:rsid w:val="00E4540E"/>
    <w:rsid w:val="00E60C19"/>
    <w:rsid w:val="00E67744"/>
    <w:rsid w:val="00E80889"/>
    <w:rsid w:val="00EA4216"/>
    <w:rsid w:val="00EA734D"/>
    <w:rsid w:val="00EB46CE"/>
    <w:rsid w:val="00EB6A73"/>
    <w:rsid w:val="00EC781B"/>
    <w:rsid w:val="00ED2F56"/>
    <w:rsid w:val="00ED5776"/>
    <w:rsid w:val="00ED7332"/>
    <w:rsid w:val="00EE3F52"/>
    <w:rsid w:val="00EF4D4D"/>
    <w:rsid w:val="00EF7BFC"/>
    <w:rsid w:val="00F15D14"/>
    <w:rsid w:val="00F3413E"/>
    <w:rsid w:val="00F436A4"/>
    <w:rsid w:val="00F56E5B"/>
    <w:rsid w:val="00F63F46"/>
    <w:rsid w:val="00F71FF7"/>
    <w:rsid w:val="00F73EA1"/>
    <w:rsid w:val="00F742C0"/>
    <w:rsid w:val="00F75AE7"/>
    <w:rsid w:val="00F77503"/>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CF16BC"/>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ind w:left="1134"/>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CF16BC"/>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532FD-42F0-4C76-B090-87798AC3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1586</Words>
  <Characters>8726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2018-09-24T19:24:00Z</cp:lastPrinted>
  <dcterms:created xsi:type="dcterms:W3CDTF">2018-10-29T18:05:00Z</dcterms:created>
  <dcterms:modified xsi:type="dcterms:W3CDTF">2018-10-29T18:05:00Z</dcterms:modified>
</cp:coreProperties>
</file>